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年度通辽市残疾人康复托养中心</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ascii="宋体" w:hAnsi="宋体"/>
          <w:sz w:val="32"/>
          <w:szCs w:val="32"/>
        </w:rPr>
      </w:pPr>
      <w:r>
        <w:rPr>
          <w:rFonts w:hint="eastAsia" w:ascii="宋体" w:hAnsi="宋体"/>
          <w:sz w:val="32"/>
          <w:szCs w:val="32"/>
        </w:rPr>
        <w:t>部门（单位）名称：通辽市残疾人康复托养中心</w:t>
      </w:r>
    </w:p>
    <w:p>
      <w:pPr>
        <w:spacing w:line="360" w:lineRule="auto"/>
        <w:ind w:firstLine="2240" w:firstLineChars="700"/>
        <w:jc w:val="left"/>
        <w:rPr>
          <w:rFonts w:ascii="宋体" w:hAnsi="宋体"/>
          <w:sz w:val="32"/>
          <w:szCs w:val="32"/>
        </w:rPr>
      </w:pPr>
      <w:r>
        <w:rPr>
          <w:rFonts w:hint="eastAsia" w:ascii="宋体" w:hAnsi="宋体"/>
          <w:sz w:val="32"/>
          <w:szCs w:val="32"/>
        </w:rPr>
        <w:t>单位负责人：邢昭明</w:t>
      </w:r>
    </w:p>
    <w:p>
      <w:pPr>
        <w:spacing w:line="360" w:lineRule="auto"/>
        <w:ind w:firstLine="2240" w:firstLineChars="700"/>
        <w:jc w:val="left"/>
        <w:rPr>
          <w:rFonts w:ascii="宋体" w:hAnsi="宋体"/>
          <w:sz w:val="32"/>
          <w:szCs w:val="32"/>
        </w:rPr>
      </w:pPr>
      <w:r>
        <w:rPr>
          <w:rFonts w:hint="eastAsia" w:ascii="宋体" w:hAnsi="宋体"/>
          <w:sz w:val="32"/>
          <w:szCs w:val="32"/>
        </w:rPr>
        <w:t>财务负责人：尹红梅</w:t>
      </w:r>
    </w:p>
    <w:p>
      <w:pPr>
        <w:spacing w:line="360" w:lineRule="auto"/>
        <w:ind w:firstLine="2240" w:firstLineChars="700"/>
        <w:jc w:val="left"/>
        <w:rPr>
          <w:rFonts w:ascii="宋体" w:hAnsi="宋体"/>
          <w:sz w:val="32"/>
          <w:szCs w:val="32"/>
        </w:rPr>
      </w:pPr>
      <w:r>
        <w:rPr>
          <w:rFonts w:hint="eastAsia" w:ascii="宋体" w:hAnsi="宋体"/>
          <w:sz w:val="32"/>
          <w:szCs w:val="32"/>
        </w:rPr>
        <w:t>编制人：</w:t>
      </w:r>
      <w:r>
        <w:rPr>
          <w:rFonts w:hint="eastAsia" w:ascii="宋体" w:hAnsi="宋体"/>
          <w:sz w:val="32"/>
          <w:szCs w:val="32"/>
          <w:lang w:val="en-US" w:eastAsia="zh-CN"/>
        </w:rPr>
        <w:t>张欢</w:t>
      </w:r>
    </w:p>
    <w:p>
      <w:pPr>
        <w:spacing w:line="360" w:lineRule="auto"/>
        <w:ind w:firstLine="2240" w:firstLineChars="700"/>
        <w:jc w:val="left"/>
        <w:rPr>
          <w:rFonts w:ascii="宋体" w:hAnsi="宋体"/>
          <w:b/>
          <w:bCs/>
          <w:sz w:val="52"/>
          <w:szCs w:val="52"/>
        </w:rPr>
      </w:pPr>
      <w:r>
        <w:rPr>
          <w:rFonts w:hint="eastAsia" w:ascii="宋体" w:hAnsi="宋体"/>
          <w:sz w:val="32"/>
          <w:szCs w:val="32"/>
        </w:rPr>
        <w:t>报送日期：</w:t>
      </w:r>
      <w:r>
        <w:rPr>
          <w:rFonts w:ascii="宋体" w:hAnsi="宋体"/>
          <w:sz w:val="32"/>
          <w:szCs w:val="32"/>
        </w:rPr>
        <w:t>202</w:t>
      </w:r>
      <w:r>
        <w:rPr>
          <w:rFonts w:hint="eastAsia" w:ascii="宋体" w:hAnsi="宋体"/>
          <w:sz w:val="32"/>
          <w:szCs w:val="32"/>
          <w:lang w:val="en-US" w:eastAsia="zh-CN"/>
        </w:rPr>
        <w:t>5</w:t>
      </w:r>
      <w:r>
        <w:rPr>
          <w:rFonts w:hint="eastAsia" w:ascii="宋体" w:hAnsi="宋体"/>
          <w:sz w:val="32"/>
          <w:szCs w:val="32"/>
        </w:rPr>
        <w:t>年9月</w:t>
      </w:r>
    </w:p>
    <w:p>
      <w:pPr>
        <w:ind w:firstLine="2240"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ascii="times_new_roman" w:hAnsi="times_new_roman" w:eastAsia="times_new_roman" w:cs="times_new_roman"/>
          <w:kern w:val="0"/>
          <w:sz w:val="27"/>
          <w:szCs w:val="27"/>
        </w:rPr>
        <w:t>2024</w:t>
      </w:r>
      <w:r>
        <w:rPr>
          <w:rFonts w:ascii="仿宋_GB2312" w:hAnsi="仿宋_GB2312" w:eastAsia="仿宋_GB2312" w:cs="仿宋_GB2312"/>
          <w:kern w:val="0"/>
          <w:sz w:val="27"/>
          <w:szCs w:val="27"/>
        </w:rPr>
        <w:t>年度部门（单位）主要工作完成情况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spacing w:before="307" w:line="357" w:lineRule="auto"/>
        <w:ind w:right="105" w:firstLine="650"/>
        <w:rPr>
          <w:rFonts w:ascii="仿宋" w:hAnsi="仿宋" w:eastAsia="仿宋" w:cs="仿宋"/>
          <w:spacing w:val="12"/>
          <w:sz w:val="31"/>
          <w:szCs w:val="31"/>
        </w:rPr>
      </w:pPr>
      <w:r>
        <w:rPr>
          <w:rFonts w:ascii="仿宋_GB2312" w:hAnsi="仿宋_GB2312" w:eastAsia="仿宋_GB2312" w:cs="仿宋_GB2312"/>
          <w:color w:val="0E00FE"/>
          <w:kern w:val="0"/>
          <w:sz w:val="27"/>
          <w:szCs w:val="27"/>
        </w:rPr>
        <w:t>    </w:t>
      </w:r>
      <w:r>
        <w:rPr>
          <w:rFonts w:ascii="仿宋" w:hAnsi="仿宋" w:eastAsia="仿宋" w:cs="仿宋"/>
          <w:spacing w:val="12"/>
          <w:sz w:val="31"/>
          <w:szCs w:val="31"/>
        </w:rPr>
        <w:t xml:space="preserve"> ( 一)</w:t>
      </w:r>
      <w:r>
        <w:rPr>
          <w:rFonts w:hint="eastAsia" w:ascii="仿宋" w:hAnsi="仿宋" w:eastAsia="仿宋" w:cs="仿宋"/>
          <w:spacing w:val="12"/>
          <w:sz w:val="31"/>
          <w:szCs w:val="31"/>
          <w:lang w:val="en-US" w:eastAsia="zh-CN"/>
        </w:rPr>
        <w:t>主要</w:t>
      </w:r>
      <w:r>
        <w:rPr>
          <w:rFonts w:ascii="仿宋" w:hAnsi="仿宋" w:eastAsia="仿宋" w:cs="仿宋"/>
          <w:spacing w:val="12"/>
          <w:sz w:val="31"/>
          <w:szCs w:val="31"/>
        </w:rPr>
        <w:t>职能</w:t>
      </w:r>
    </w:p>
    <w:p>
      <w:pPr>
        <w:spacing w:before="307" w:line="357" w:lineRule="auto"/>
        <w:ind w:right="105" w:firstLine="650"/>
        <w:rPr>
          <w:rFonts w:ascii="仿宋" w:hAnsi="仿宋" w:eastAsia="仿宋" w:cs="仿宋"/>
          <w:spacing w:val="12"/>
          <w:sz w:val="31"/>
          <w:szCs w:val="31"/>
        </w:rPr>
      </w:pPr>
      <w:r>
        <w:rPr>
          <w:rFonts w:ascii="仿宋" w:hAnsi="仿宋" w:eastAsia="仿宋" w:cs="仿宋"/>
          <w:spacing w:val="12"/>
          <w:sz w:val="31"/>
          <w:szCs w:val="31"/>
        </w:rPr>
        <w:t>一是制定全市康复托养事业发展规划和计划，指导旗县市区 残疾人康复托养中心工作，调查摸底残疾人康复托养需求，总结推广残疾人康复托养先进经验；</w:t>
      </w:r>
    </w:p>
    <w:p>
      <w:pPr>
        <w:spacing w:before="307" w:line="357" w:lineRule="auto"/>
        <w:ind w:right="105" w:firstLine="650"/>
        <w:rPr>
          <w:rFonts w:ascii="仿宋" w:hAnsi="仿宋" w:eastAsia="仿宋" w:cs="仿宋"/>
          <w:spacing w:val="12"/>
          <w:sz w:val="31"/>
          <w:szCs w:val="31"/>
        </w:rPr>
      </w:pPr>
      <w:r>
        <w:rPr>
          <w:rFonts w:ascii="仿宋" w:hAnsi="仿宋" w:eastAsia="仿宋" w:cs="仿宋"/>
          <w:spacing w:val="12"/>
          <w:sz w:val="31"/>
          <w:szCs w:val="31"/>
        </w:rPr>
        <w:t>二是承担着康复评定、康复教育、康复工程、康复人才培养、 社区康复指导、康复信息咨询、康复宣传、康复研究和残疾预防等；</w:t>
      </w:r>
    </w:p>
    <w:p>
      <w:pPr>
        <w:spacing w:before="307" w:line="357" w:lineRule="auto"/>
        <w:ind w:right="105" w:firstLine="650"/>
        <w:rPr>
          <w:rFonts w:ascii="仿宋" w:hAnsi="仿宋" w:eastAsia="仿宋" w:cs="仿宋"/>
          <w:spacing w:val="12"/>
          <w:sz w:val="31"/>
          <w:szCs w:val="31"/>
        </w:rPr>
      </w:pPr>
      <w:r>
        <w:rPr>
          <w:rFonts w:ascii="仿宋" w:hAnsi="仿宋" w:eastAsia="仿宋" w:cs="仿宋"/>
          <w:spacing w:val="12"/>
          <w:sz w:val="31"/>
          <w:szCs w:val="31"/>
        </w:rPr>
        <w:t>三是承担各级政府及社会机构委托的公益性残疾人辅助器具 服务项目，面向各类残疾人，开展具有一定专业水平的辅助器具服务，包括：辅助器具评估适配、产品研发、假肢矫形器装配、助视器验配、助听器验配、适应性训练、使用指导、家居无障碍改造、信息资讯、知识宣传以及对有关辅助器具机构提供技术支持和人员培训等。主要工作职能是：辅助器具评估适配、产品研发、假肢矫形器装配、助视器验配、助听器验配、人员培训等；</w:t>
      </w:r>
    </w:p>
    <w:p>
      <w:pPr>
        <w:spacing w:before="307" w:line="357" w:lineRule="auto"/>
        <w:ind w:right="105" w:firstLine="650"/>
        <w:rPr>
          <w:rFonts w:ascii="仿宋" w:hAnsi="仿宋" w:eastAsia="仿宋" w:cs="仿宋"/>
          <w:spacing w:val="12"/>
          <w:sz w:val="31"/>
          <w:szCs w:val="31"/>
        </w:rPr>
      </w:pPr>
      <w:r>
        <w:rPr>
          <w:rFonts w:ascii="仿宋" w:hAnsi="仿宋" w:eastAsia="仿宋" w:cs="仿宋"/>
          <w:spacing w:val="12"/>
          <w:sz w:val="31"/>
          <w:szCs w:val="31"/>
        </w:rPr>
        <w:t>四是负责残疾人(重度肢体、智力残疾)康复托养工作；</w:t>
      </w:r>
    </w:p>
    <w:p>
      <w:pPr>
        <w:spacing w:before="307" w:line="357" w:lineRule="auto"/>
        <w:ind w:right="105" w:firstLine="650"/>
        <w:rPr>
          <w:rFonts w:ascii="仿宋" w:hAnsi="仿宋" w:eastAsia="仿宋" w:cs="仿宋"/>
          <w:spacing w:val="12"/>
          <w:sz w:val="31"/>
          <w:szCs w:val="31"/>
        </w:rPr>
      </w:pPr>
      <w:r>
        <w:rPr>
          <w:rFonts w:ascii="仿宋" w:hAnsi="仿宋" w:eastAsia="仿宋" w:cs="仿宋"/>
          <w:spacing w:val="12"/>
          <w:sz w:val="31"/>
          <w:szCs w:val="31"/>
        </w:rPr>
        <w:t>五是负责国家、自治区、市本级各类康复项目和资金接受、 拨付、监督使用等工作(必须有国家事业单位负责管理)。对外联系、法律服务、安全保障等项工作。</w:t>
      </w:r>
    </w:p>
    <w:p>
      <w:pPr>
        <w:spacing w:before="216" w:line="224" w:lineRule="auto"/>
        <w:ind w:left="800"/>
        <w:rPr>
          <w:rFonts w:ascii="仿宋" w:hAnsi="仿宋" w:eastAsia="仿宋" w:cs="仿宋"/>
          <w:sz w:val="31"/>
          <w:szCs w:val="31"/>
        </w:rPr>
      </w:pPr>
      <w:r>
        <w:rPr>
          <w:rFonts w:ascii="仿宋" w:hAnsi="仿宋" w:eastAsia="仿宋" w:cs="仿宋"/>
          <w:spacing w:val="28"/>
          <w:sz w:val="31"/>
          <w:szCs w:val="31"/>
        </w:rPr>
        <w:t>(二)主要职责</w:t>
      </w:r>
    </w:p>
    <w:p>
      <w:pPr>
        <w:spacing w:before="272" w:line="609" w:lineRule="exact"/>
        <w:ind w:right="63"/>
        <w:jc w:val="both"/>
        <w:rPr>
          <w:rFonts w:ascii="仿宋" w:hAnsi="仿宋" w:eastAsia="仿宋" w:cs="仿宋"/>
          <w:sz w:val="31"/>
          <w:szCs w:val="31"/>
        </w:rPr>
      </w:pPr>
      <w:r>
        <w:rPr>
          <w:rFonts w:hint="eastAsia" w:ascii="仿宋" w:hAnsi="仿宋" w:eastAsia="仿宋" w:cs="仿宋"/>
          <w:spacing w:val="14"/>
          <w:position w:val="22"/>
          <w:sz w:val="31"/>
          <w:szCs w:val="31"/>
          <w:lang w:val="en-US" w:eastAsia="zh-CN"/>
        </w:rPr>
        <w:t xml:space="preserve">  </w:t>
      </w:r>
      <w:r>
        <w:rPr>
          <w:rFonts w:ascii="仿宋" w:hAnsi="仿宋" w:eastAsia="仿宋" w:cs="仿宋"/>
          <w:spacing w:val="14"/>
          <w:position w:val="22"/>
          <w:sz w:val="31"/>
          <w:szCs w:val="31"/>
        </w:rPr>
        <w:t>1、</w:t>
      </w:r>
      <w:r>
        <w:rPr>
          <w:rFonts w:ascii="仿宋" w:hAnsi="仿宋" w:eastAsia="仿宋" w:cs="仿宋"/>
          <w:spacing w:val="-54"/>
          <w:position w:val="22"/>
          <w:sz w:val="31"/>
          <w:szCs w:val="31"/>
        </w:rPr>
        <w:t xml:space="preserve"> </w:t>
      </w:r>
      <w:r>
        <w:rPr>
          <w:rFonts w:ascii="仿宋" w:hAnsi="仿宋" w:eastAsia="仿宋" w:cs="仿宋"/>
          <w:spacing w:val="14"/>
          <w:position w:val="22"/>
          <w:sz w:val="31"/>
          <w:szCs w:val="31"/>
        </w:rPr>
        <w:t>为各类有需求的残疾人和有康复需求的患者提供康复医</w:t>
      </w:r>
    </w:p>
    <w:p>
      <w:pPr>
        <w:spacing w:before="1" w:line="221" w:lineRule="auto"/>
        <w:rPr>
          <w:rFonts w:ascii="仿宋" w:hAnsi="仿宋" w:eastAsia="仿宋" w:cs="仿宋"/>
          <w:sz w:val="31"/>
          <w:szCs w:val="31"/>
        </w:rPr>
      </w:pPr>
      <w:r>
        <w:rPr>
          <w:rFonts w:ascii="仿宋" w:hAnsi="仿宋" w:eastAsia="仿宋" w:cs="仿宋"/>
          <w:spacing w:val="4"/>
          <w:sz w:val="31"/>
          <w:szCs w:val="31"/>
        </w:rPr>
        <w:t>疗、康复评定、康复工程和心理咨询等相关服务；</w:t>
      </w:r>
    </w:p>
    <w:p>
      <w:pPr>
        <w:spacing w:before="204" w:line="364" w:lineRule="auto"/>
        <w:ind w:right="38"/>
        <w:rPr>
          <w:rFonts w:ascii="仿宋" w:hAnsi="仿宋" w:eastAsia="仿宋" w:cs="仿宋"/>
          <w:sz w:val="31"/>
          <w:szCs w:val="31"/>
        </w:rPr>
      </w:pPr>
      <w:r>
        <w:rPr>
          <w:rFonts w:hint="eastAsia" w:ascii="仿宋" w:hAnsi="仿宋" w:eastAsia="仿宋" w:cs="仿宋"/>
          <w:spacing w:val="5"/>
          <w:sz w:val="31"/>
          <w:szCs w:val="31"/>
          <w:lang w:val="en-US" w:eastAsia="zh-CN"/>
        </w:rPr>
        <w:t xml:space="preserve">  </w:t>
      </w:r>
      <w:r>
        <w:rPr>
          <w:rFonts w:ascii="仿宋" w:hAnsi="仿宋" w:eastAsia="仿宋" w:cs="仿宋"/>
          <w:spacing w:val="5"/>
          <w:sz w:val="31"/>
          <w:szCs w:val="31"/>
        </w:rPr>
        <w:t>2、承担各级政府及社会机构委托的公益性残疾人辅助器具服</w:t>
      </w:r>
      <w:r>
        <w:rPr>
          <w:rFonts w:ascii="仿宋" w:hAnsi="仿宋" w:eastAsia="仿宋" w:cs="仿宋"/>
          <w:sz w:val="31"/>
          <w:szCs w:val="31"/>
        </w:rPr>
        <w:t>务项目，负责落实生活困难残疾人配置辅助器具的救助政策；配合</w:t>
      </w:r>
      <w:r>
        <w:rPr>
          <w:rFonts w:ascii="仿宋" w:hAnsi="仿宋" w:eastAsia="仿宋" w:cs="仿宋"/>
          <w:spacing w:val="3"/>
          <w:sz w:val="31"/>
          <w:szCs w:val="31"/>
        </w:rPr>
        <w:t>有关部门开展残疾人辅助器具的质量监督；</w:t>
      </w:r>
    </w:p>
    <w:p>
      <w:pPr>
        <w:spacing w:before="178" w:line="370" w:lineRule="auto"/>
        <w:ind w:right="26"/>
        <w:rPr>
          <w:rFonts w:ascii="仿宋" w:hAnsi="仿宋" w:eastAsia="仿宋" w:cs="仿宋"/>
          <w:sz w:val="31"/>
          <w:szCs w:val="31"/>
        </w:rPr>
      </w:pPr>
      <w:r>
        <w:rPr>
          <w:rFonts w:hint="eastAsia" w:ascii="仿宋" w:hAnsi="仿宋" w:eastAsia="仿宋" w:cs="仿宋"/>
          <w:spacing w:val="7"/>
          <w:sz w:val="31"/>
          <w:szCs w:val="31"/>
          <w:lang w:val="en-US" w:eastAsia="zh-CN"/>
        </w:rPr>
        <w:t xml:space="preserve">  </w:t>
      </w:r>
      <w:r>
        <w:rPr>
          <w:rFonts w:ascii="仿宋" w:hAnsi="仿宋" w:eastAsia="仿宋" w:cs="仿宋"/>
          <w:spacing w:val="7"/>
          <w:sz w:val="31"/>
          <w:szCs w:val="31"/>
        </w:rPr>
        <w:t>3、负责对听障人群开展听力干预、听觉语言康复言语矫治等</w:t>
      </w:r>
      <w:r>
        <w:rPr>
          <w:rFonts w:ascii="仿宋" w:hAnsi="仿宋" w:eastAsia="仿宋" w:cs="仿宋"/>
          <w:spacing w:val="-1"/>
          <w:sz w:val="31"/>
          <w:szCs w:val="31"/>
        </w:rPr>
        <w:t>服务工作；培训基层语训教师，培训和指导聋儿家长开展家庭康复</w:t>
      </w:r>
      <w:r>
        <w:rPr>
          <w:rFonts w:ascii="仿宋" w:hAnsi="仿宋" w:eastAsia="仿宋" w:cs="仿宋"/>
          <w:spacing w:val="-15"/>
          <w:sz w:val="31"/>
          <w:szCs w:val="31"/>
        </w:rPr>
        <w:t>训练；</w:t>
      </w:r>
    </w:p>
    <w:p>
      <w:pPr>
        <w:spacing w:before="307" w:line="357" w:lineRule="auto"/>
        <w:ind w:right="105"/>
        <w:rPr>
          <w:rFonts w:ascii="Times New Roman" w:hAnsi="Times New Roman" w:eastAsia="Times New Roman" w:cs="Times New Roman"/>
          <w:kern w:val="0"/>
          <w:sz w:val="24"/>
        </w:rPr>
      </w:pPr>
      <w:r>
        <w:rPr>
          <w:rFonts w:hint="eastAsia" w:ascii="仿宋" w:hAnsi="仿宋" w:eastAsia="仿宋" w:cs="仿宋"/>
          <w:spacing w:val="5"/>
          <w:sz w:val="31"/>
          <w:szCs w:val="31"/>
          <w:lang w:val="en-US" w:eastAsia="zh-CN"/>
        </w:rPr>
        <w:t xml:space="preserve">  </w:t>
      </w:r>
      <w:r>
        <w:rPr>
          <w:rFonts w:ascii="仿宋" w:hAnsi="仿宋" w:eastAsia="仿宋" w:cs="仿宋"/>
          <w:spacing w:val="5"/>
          <w:sz w:val="31"/>
          <w:szCs w:val="31"/>
        </w:rPr>
        <w:t>4、</w:t>
      </w:r>
      <w:r>
        <w:rPr>
          <w:rFonts w:ascii="仿宋" w:hAnsi="仿宋" w:eastAsia="仿宋" w:cs="仿宋"/>
          <w:spacing w:val="-68"/>
          <w:sz w:val="31"/>
          <w:szCs w:val="31"/>
        </w:rPr>
        <w:t xml:space="preserve"> </w:t>
      </w:r>
      <w:r>
        <w:rPr>
          <w:rFonts w:ascii="仿宋" w:hAnsi="仿宋" w:eastAsia="仿宋" w:cs="仿宋"/>
          <w:spacing w:val="5"/>
          <w:sz w:val="31"/>
          <w:szCs w:val="31"/>
        </w:rPr>
        <w:t>负责全市就业年龄段残疾人康复托养服务指导培训</w:t>
      </w:r>
      <w:r>
        <w:rPr>
          <w:rFonts w:ascii="仿宋" w:hAnsi="仿宋" w:eastAsia="仿宋" w:cs="仿宋"/>
          <w:spacing w:val="4"/>
          <w:sz w:val="31"/>
          <w:szCs w:val="31"/>
        </w:rPr>
        <w:t>工作。</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widowControl/>
        <w:spacing w:before="240" w:after="240"/>
        <w:ind w:firstLine="393"/>
        <w:jc w:val="left"/>
        <w:rPr>
          <w:rFonts w:ascii="仿宋" w:hAnsi="仿宋" w:eastAsia="仿宋" w:cs="仿宋"/>
          <w:spacing w:val="14"/>
          <w:sz w:val="31"/>
          <w:szCs w:val="31"/>
        </w:rPr>
      </w:pPr>
      <w:r>
        <w:rPr>
          <w:rFonts w:ascii="times_new_roman" w:hAnsi="times_new_roman" w:eastAsia="times_new_roman" w:cs="times_new_roman"/>
          <w:kern w:val="0"/>
          <w:sz w:val="27"/>
          <w:szCs w:val="27"/>
        </w:rPr>
        <w:t>   </w:t>
      </w:r>
      <w:r>
        <w:rPr>
          <w:rFonts w:hint="eastAsia" w:ascii="仿宋" w:hAnsi="仿宋" w:eastAsia="仿宋" w:cs="仿宋"/>
          <w:spacing w:val="5"/>
          <w:sz w:val="31"/>
          <w:szCs w:val="31"/>
          <w:lang w:val="en-US" w:eastAsia="zh-CN"/>
        </w:rPr>
        <w:t xml:space="preserve"> </w:t>
      </w:r>
      <w:r>
        <w:rPr>
          <w:rFonts w:ascii="仿宋" w:hAnsi="仿宋" w:eastAsia="仿宋" w:cs="仿宋"/>
          <w:spacing w:val="5"/>
          <w:sz w:val="31"/>
          <w:szCs w:val="31"/>
        </w:rPr>
        <w:t>1. 根据单位职责分工，本单位内设机构包括：康复辅具中心</w:t>
      </w:r>
      <w:r>
        <w:rPr>
          <w:rFonts w:ascii="仿宋" w:hAnsi="仿宋" w:eastAsia="仿宋" w:cs="仿宋"/>
          <w:spacing w:val="17"/>
          <w:sz w:val="31"/>
          <w:szCs w:val="31"/>
        </w:rPr>
        <w:t>下设康复医疗科、康复辅具科(包括：肢体残疾康复、低视力康</w:t>
      </w:r>
      <w:r>
        <w:rPr>
          <w:rFonts w:ascii="仿宋" w:hAnsi="仿宋" w:eastAsia="仿宋" w:cs="仿宋"/>
          <w:spacing w:val="23"/>
          <w:sz w:val="31"/>
          <w:szCs w:val="31"/>
        </w:rPr>
        <w:t>复</w:t>
      </w:r>
      <w:r>
        <w:rPr>
          <w:rFonts w:hint="eastAsia" w:ascii="仿宋" w:hAnsi="仿宋" w:eastAsia="仿宋" w:cs="仿宋"/>
          <w:spacing w:val="23"/>
          <w:sz w:val="31"/>
          <w:szCs w:val="31"/>
          <w:lang w:eastAsia="zh-CN"/>
        </w:rPr>
        <w:t>、</w:t>
      </w:r>
      <w:r>
        <w:rPr>
          <w:rFonts w:ascii="仿宋" w:hAnsi="仿宋" w:eastAsia="仿宋" w:cs="仿宋"/>
          <w:spacing w:val="23"/>
          <w:sz w:val="31"/>
          <w:szCs w:val="31"/>
        </w:rPr>
        <w:t>心理咨询、无障碍工程)、假肢矫形器装配服务</w:t>
      </w:r>
      <w:r>
        <w:rPr>
          <w:rFonts w:ascii="仿宋" w:hAnsi="仿宋" w:eastAsia="仿宋" w:cs="仿宋"/>
          <w:spacing w:val="22"/>
          <w:sz w:val="31"/>
          <w:szCs w:val="31"/>
        </w:rPr>
        <w:t>室(康复工</w:t>
      </w:r>
      <w:r>
        <w:rPr>
          <w:rFonts w:ascii="仿宋" w:hAnsi="仿宋" w:eastAsia="仿宋" w:cs="仿宋"/>
          <w:spacing w:val="32"/>
          <w:sz w:val="31"/>
          <w:szCs w:val="31"/>
        </w:rPr>
        <w:t>程)、聋儿语训康复室(听力语言辅具)、托养服务科(社会工</w:t>
      </w:r>
      <w:r>
        <w:rPr>
          <w:rFonts w:ascii="仿宋" w:hAnsi="仿宋" w:eastAsia="仿宋" w:cs="仿宋"/>
          <w:spacing w:val="14"/>
          <w:sz w:val="31"/>
          <w:szCs w:val="31"/>
        </w:rPr>
        <w:t>作社区康复工作)。本单位无下属单位。</w:t>
      </w:r>
    </w:p>
    <w:p>
      <w:pPr>
        <w:spacing w:before="1" w:line="220" w:lineRule="auto"/>
        <w:ind w:left="125"/>
        <w:rPr>
          <w:rFonts w:ascii="仿宋" w:hAnsi="仿宋" w:eastAsia="仿宋" w:cs="仿宋"/>
          <w:sz w:val="31"/>
          <w:szCs w:val="31"/>
        </w:rPr>
      </w:pPr>
      <w:r>
        <w:rPr>
          <w:rFonts w:hint="eastAsia" w:ascii="仿宋" w:hAnsi="仿宋" w:eastAsia="仿宋" w:cs="仿宋"/>
          <w:spacing w:val="14"/>
          <w:sz w:val="31"/>
          <w:szCs w:val="31"/>
          <w:lang w:val="en-US" w:eastAsia="zh-CN"/>
        </w:rPr>
        <w:t xml:space="preserve">  </w:t>
      </w:r>
      <w:r>
        <w:rPr>
          <w:rFonts w:ascii="仿宋" w:hAnsi="仿宋" w:eastAsia="仿宋" w:cs="仿宋"/>
          <w:spacing w:val="17"/>
          <w:sz w:val="31"/>
          <w:szCs w:val="31"/>
        </w:rPr>
        <w:t>2. 从</w:t>
      </w:r>
      <w:r>
        <w:rPr>
          <w:rFonts w:hint="eastAsia" w:ascii="仿宋" w:hAnsi="仿宋" w:eastAsia="仿宋" w:cs="仿宋"/>
          <w:spacing w:val="17"/>
          <w:sz w:val="31"/>
          <w:szCs w:val="31"/>
          <w:lang w:val="en-US" w:eastAsia="zh-CN"/>
        </w:rPr>
        <w:t>决算</w:t>
      </w:r>
      <w:r>
        <w:rPr>
          <w:rFonts w:ascii="仿宋" w:hAnsi="仿宋" w:eastAsia="仿宋" w:cs="仿宋"/>
          <w:spacing w:val="17"/>
          <w:sz w:val="31"/>
          <w:szCs w:val="31"/>
        </w:rPr>
        <w:t>单位构成看，纳入本</w:t>
      </w:r>
      <w:r>
        <w:rPr>
          <w:rFonts w:hint="eastAsia" w:ascii="仿宋" w:hAnsi="仿宋" w:eastAsia="仿宋" w:cs="仿宋"/>
          <w:spacing w:val="17"/>
          <w:sz w:val="31"/>
          <w:szCs w:val="31"/>
          <w:lang w:val="en-US" w:eastAsia="zh-CN"/>
        </w:rPr>
        <w:t>财政汇总决算编制范围的</w:t>
      </w:r>
      <w:r>
        <w:rPr>
          <w:rFonts w:ascii="仿宋" w:hAnsi="仿宋" w:eastAsia="仿宋" w:cs="仿宋"/>
          <w:spacing w:val="17"/>
          <w:sz w:val="31"/>
          <w:szCs w:val="31"/>
        </w:rPr>
        <w:t>预算单位共计1家，具体包括：通辽市残疾人康复托养</w:t>
      </w:r>
      <w:r>
        <w:rPr>
          <w:rFonts w:ascii="仿宋" w:hAnsi="仿宋" w:eastAsia="仿宋" w:cs="仿宋"/>
          <w:spacing w:val="-2"/>
          <w:sz w:val="31"/>
          <w:szCs w:val="31"/>
        </w:rPr>
        <w:t>中心。详细情况见表：</w:t>
      </w:r>
    </w:p>
    <w:p>
      <w:pPr>
        <w:spacing w:line="36" w:lineRule="exact"/>
      </w:pPr>
    </w:p>
    <w:tbl>
      <w:tblPr>
        <w:tblStyle w:val="29"/>
        <w:tblW w:w="85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99"/>
        <w:gridCol w:w="31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0" w:hRule="atLeast"/>
        </w:trPr>
        <w:tc>
          <w:tcPr>
            <w:tcW w:w="654" w:type="dxa"/>
            <w:textDirection w:val="tbRlV"/>
            <w:vAlign w:val="top"/>
          </w:tcPr>
          <w:p>
            <w:pPr>
              <w:spacing w:before="179" w:line="217" w:lineRule="auto"/>
              <w:ind w:left="9"/>
              <w:jc w:val="center"/>
              <w:rPr>
                <w:rFonts w:ascii="宋体" w:hAnsi="宋体" w:eastAsia="宋体" w:cs="宋体"/>
                <w:sz w:val="30"/>
                <w:szCs w:val="30"/>
              </w:rPr>
            </w:pPr>
            <w:r>
              <w:rPr>
                <w:rFonts w:ascii="宋体" w:hAnsi="宋体" w:eastAsia="宋体" w:cs="宋体"/>
                <w:sz w:val="30"/>
                <w:szCs w:val="30"/>
              </w:rPr>
              <w:t>序</w:t>
            </w:r>
            <w:r>
              <w:rPr>
                <w:rFonts w:ascii="宋体" w:hAnsi="宋体" w:eastAsia="宋体" w:cs="宋体"/>
                <w:spacing w:val="13"/>
                <w:sz w:val="30"/>
                <w:szCs w:val="30"/>
              </w:rPr>
              <w:t xml:space="preserve"> </w:t>
            </w:r>
            <w:r>
              <w:rPr>
                <w:rFonts w:ascii="宋体" w:hAnsi="宋体" w:eastAsia="宋体" w:cs="宋体"/>
                <w:sz w:val="30"/>
                <w:szCs w:val="30"/>
              </w:rPr>
              <w:t>号</w:t>
            </w:r>
          </w:p>
        </w:tc>
        <w:tc>
          <w:tcPr>
            <w:tcW w:w="4699" w:type="dxa"/>
            <w:vAlign w:val="top"/>
          </w:tcPr>
          <w:p>
            <w:pPr>
              <w:tabs>
                <w:tab w:val="center" w:pos="2344"/>
              </w:tabs>
              <w:spacing w:before="258" w:line="220" w:lineRule="auto"/>
              <w:ind w:left="1031"/>
              <w:rPr>
                <w:rFonts w:ascii="宋体" w:hAnsi="宋体" w:eastAsia="宋体" w:cs="宋体"/>
                <w:sz w:val="30"/>
                <w:szCs w:val="30"/>
              </w:rPr>
            </w:pPr>
            <w:r>
              <w:rPr>
                <w:rFonts w:ascii="宋体" w:hAnsi="宋体" w:eastAsia="宋体" w:cs="宋体"/>
                <w:spacing w:val="3"/>
                <w:sz w:val="30"/>
                <w:szCs w:val="30"/>
              </w:rPr>
              <w:t>单位名称</w:t>
            </w:r>
            <w:r>
              <w:rPr>
                <w:rFonts w:hint="eastAsia" w:ascii="宋体" w:hAnsi="宋体" w:cs="宋体"/>
                <w:spacing w:val="3"/>
                <w:sz w:val="30"/>
                <w:szCs w:val="30"/>
                <w:lang w:eastAsia="zh-CN"/>
              </w:rPr>
              <w:tab/>
            </w:r>
          </w:p>
        </w:tc>
        <w:tc>
          <w:tcPr>
            <w:tcW w:w="3177" w:type="dxa"/>
            <w:vAlign w:val="top"/>
          </w:tcPr>
          <w:p>
            <w:pPr>
              <w:tabs>
                <w:tab w:val="left" w:pos="1407"/>
              </w:tabs>
              <w:spacing w:before="258" w:line="220" w:lineRule="auto"/>
              <w:jc w:val="center"/>
              <w:rPr>
                <w:rFonts w:ascii="宋体" w:hAnsi="宋体" w:eastAsia="宋体" w:cs="宋体"/>
                <w:sz w:val="30"/>
                <w:szCs w:val="30"/>
              </w:rPr>
            </w:pPr>
            <w:r>
              <w:rPr>
                <w:rFonts w:ascii="宋体" w:hAnsi="宋体" w:eastAsia="宋体" w:cs="宋体"/>
                <w:spacing w:val="8"/>
                <w:sz w:val="30"/>
                <w:szCs w:val="30"/>
              </w:rPr>
              <w:t>单位性质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9" w:hRule="atLeast"/>
        </w:trPr>
        <w:tc>
          <w:tcPr>
            <w:tcW w:w="654" w:type="dxa"/>
            <w:vAlign w:val="top"/>
          </w:tcPr>
          <w:p>
            <w:pPr>
              <w:spacing w:line="254" w:lineRule="auto"/>
              <w:rPr>
                <w:rFonts w:ascii="Arial"/>
                <w:sz w:val="21"/>
              </w:rPr>
            </w:pPr>
          </w:p>
          <w:p>
            <w:pPr>
              <w:spacing w:before="97" w:line="184" w:lineRule="auto"/>
              <w:ind w:left="245"/>
              <w:rPr>
                <w:rFonts w:ascii="宋体" w:hAnsi="宋体" w:eastAsia="宋体" w:cs="宋体"/>
                <w:sz w:val="30"/>
                <w:szCs w:val="30"/>
              </w:rPr>
            </w:pPr>
            <w:r>
              <w:rPr>
                <w:rFonts w:ascii="宋体" w:hAnsi="宋体" w:eastAsia="宋体" w:cs="宋体"/>
                <w:sz w:val="30"/>
                <w:szCs w:val="30"/>
              </w:rPr>
              <w:t>1</w:t>
            </w:r>
          </w:p>
        </w:tc>
        <w:tc>
          <w:tcPr>
            <w:tcW w:w="4699" w:type="dxa"/>
            <w:vAlign w:val="top"/>
          </w:tcPr>
          <w:p>
            <w:pPr>
              <w:spacing w:before="68" w:line="234" w:lineRule="auto"/>
              <w:ind w:left="121" w:right="423"/>
              <w:rPr>
                <w:rFonts w:ascii="宋体" w:hAnsi="宋体" w:eastAsia="宋体" w:cs="宋体"/>
                <w:sz w:val="30"/>
                <w:szCs w:val="30"/>
              </w:rPr>
            </w:pPr>
            <w:r>
              <w:rPr>
                <w:rFonts w:ascii="宋体" w:hAnsi="宋体" w:eastAsia="宋体" w:cs="宋体"/>
                <w:spacing w:val="1"/>
                <w:sz w:val="30"/>
                <w:szCs w:val="30"/>
              </w:rPr>
              <w:t>通辽市残疾人康复托</w:t>
            </w:r>
            <w:r>
              <w:rPr>
                <w:rFonts w:ascii="宋体" w:hAnsi="宋体" w:eastAsia="宋体" w:cs="宋体"/>
                <w:spacing w:val="6"/>
                <w:sz w:val="30"/>
                <w:szCs w:val="30"/>
              </w:rPr>
              <w:t>养中心</w:t>
            </w:r>
          </w:p>
        </w:tc>
        <w:tc>
          <w:tcPr>
            <w:tcW w:w="3177" w:type="dxa"/>
            <w:vAlign w:val="top"/>
          </w:tcPr>
          <w:p>
            <w:pPr>
              <w:spacing w:before="57" w:line="219" w:lineRule="auto"/>
              <w:ind w:left="115"/>
              <w:rPr>
                <w:rFonts w:ascii="宋体" w:hAnsi="宋体" w:eastAsia="宋体" w:cs="宋体"/>
                <w:sz w:val="30"/>
                <w:szCs w:val="30"/>
              </w:rPr>
            </w:pPr>
            <w:r>
              <w:rPr>
                <w:rFonts w:ascii="宋体" w:hAnsi="宋体" w:eastAsia="宋体" w:cs="宋体"/>
                <w:spacing w:val="1"/>
                <w:sz w:val="30"/>
                <w:szCs w:val="30"/>
              </w:rPr>
              <w:t>公益一类事业单位</w:t>
            </w:r>
          </w:p>
        </w:tc>
      </w:tr>
    </w:tbl>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三、2024年度单位主要工作完成情况</w:t>
      </w:r>
    </w:p>
    <w:p>
      <w:pPr>
        <w:spacing w:before="1" w:line="220" w:lineRule="auto"/>
        <w:ind w:left="125"/>
        <w:rPr>
          <w:rFonts w:hint="eastAsia" w:ascii="仿宋" w:hAnsi="仿宋" w:eastAsia="仿宋" w:cs="仿宋"/>
          <w:spacing w:val="17"/>
          <w:sz w:val="31"/>
          <w:szCs w:val="31"/>
        </w:rPr>
      </w:pPr>
      <w:r>
        <w:rPr>
          <w:rFonts w:ascii="仿宋_GB2312" w:hAnsi="仿宋_GB2312" w:eastAsia="仿宋_GB2312" w:cs="仿宋_GB2312"/>
          <w:kern w:val="0"/>
          <w:sz w:val="27"/>
          <w:szCs w:val="27"/>
        </w:rPr>
        <w:t> </w:t>
      </w:r>
      <w:r>
        <w:rPr>
          <w:rFonts w:hint="eastAsia" w:ascii="仿宋" w:hAnsi="仿宋" w:eastAsia="仿宋" w:cs="仿宋"/>
          <w:spacing w:val="17"/>
          <w:sz w:val="31"/>
          <w:szCs w:val="31"/>
          <w:lang w:val="en-US" w:eastAsia="zh-CN"/>
        </w:rPr>
        <w:t xml:space="preserve">  了解各旗县、市、区的持证残疾人上报需求辅助</w:t>
      </w:r>
      <w:r>
        <w:rPr>
          <w:rFonts w:hint="eastAsia" w:ascii="仿宋" w:hAnsi="仿宋" w:eastAsia="仿宋" w:cs="仿宋"/>
          <w:spacing w:val="17"/>
          <w:sz w:val="31"/>
          <w:szCs w:val="31"/>
        </w:rPr>
        <w:t>器具共 2209 件</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开展 2024年通辽市残疾人基本辅助器具适配项目</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使有需求的持证残疾人基本辅助器具适配率达到 90%以上;建档立卡、低保户等低收入家庭和就业、就学年龄段残疾人基本辅助器具适配率达到100%、假肢矫形器装配率100%</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开展 2024 年自治区《“阳光伴我行”集善明门儿童轮椅项目》儿童轮椅发放工作，其中通辽市经济技术开发区1人、开鲁县8人、扎鲁特旗6人、科左后旗16人、库伦旗6人、奈曼旗11人</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开展残疾人福利基金会捐赠物资的发放、宣传、材料上报等相关工作</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向内蒙古民族大学附属医院儿童康复中心发放了美丽魔方蛋白粉196罐</w:t>
      </w:r>
      <w:r>
        <w:rPr>
          <w:rFonts w:hint="eastAsia" w:ascii="仿宋" w:hAnsi="仿宋" w:eastAsia="仿宋" w:cs="仿宋"/>
          <w:spacing w:val="17"/>
          <w:sz w:val="31"/>
          <w:szCs w:val="31"/>
          <w:lang w:eastAsia="zh-CN"/>
        </w:rPr>
        <w:t>；</w:t>
      </w:r>
    </w:p>
    <w:p>
      <w:pPr>
        <w:spacing w:before="1" w:line="220" w:lineRule="auto"/>
        <w:ind w:left="125"/>
        <w:rPr>
          <w:rFonts w:hint="eastAsia" w:ascii="仿宋" w:hAnsi="仿宋" w:eastAsia="仿宋" w:cs="仿宋"/>
          <w:spacing w:val="17"/>
          <w:sz w:val="31"/>
          <w:szCs w:val="31"/>
        </w:rPr>
      </w:pPr>
      <w:r>
        <w:rPr>
          <w:rFonts w:hint="eastAsia" w:ascii="仿宋" w:hAnsi="仿宋" w:eastAsia="仿宋" w:cs="仿宋"/>
          <w:spacing w:val="17"/>
          <w:sz w:val="31"/>
          <w:szCs w:val="31"/>
        </w:rPr>
        <w:t>2024</w:t>
      </w:r>
      <w:r>
        <w:rPr>
          <w:rFonts w:hint="eastAsia" w:ascii="仿宋" w:hAnsi="仿宋" w:eastAsia="仿宋" w:cs="仿宋"/>
          <w:spacing w:val="17"/>
          <w:sz w:val="31"/>
          <w:szCs w:val="31"/>
          <w:lang w:val="en-US" w:eastAsia="zh-CN"/>
        </w:rPr>
        <w:t>年</w:t>
      </w:r>
      <w:r>
        <w:rPr>
          <w:rFonts w:hint="eastAsia" w:ascii="仿宋" w:hAnsi="仿宋" w:eastAsia="仿宋" w:cs="仿宋"/>
          <w:spacing w:val="17"/>
          <w:sz w:val="31"/>
          <w:szCs w:val="31"/>
        </w:rPr>
        <w:t>上半年维修总数 82 件(其中市本级26人、科尔沁区 7 人、开发 区 3 人、库伦 29 人、奈曼 4 人、扎旗 2 人、后旗 11 人，开鲁、 左中)，下半年维修活动总数 16 件(库伦 7 件、 奈曼 3 件、扎旗 1 件、 科区 5 件，开鲁)</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利用3D足底扫描仪共为肢体残疾人(下肢)进行足底扫描检测服务并个性化适配矫形器合计 63 例</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2024 年全年累计开展特殊儿童心理沙盘游戏治疗和成年残疾人的心理疏导工作共 72 人次;与内蒙古民族大学农学院合作，为肢残协会和特殊儿童家庭捐赠 254 本图书，30 套学习用品及现金 2000 元</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为内蒙古民族大学附属医院儿童康复保健科的医护人员举办 9 场“个人心灵成长”心理健康专 题培训</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联合通辽市开发区民政局、内蒙古民 族大学附属医院康复保健医院、西门街道彩虹桥社区举办“3.3 爱耳周宣传活动”为社区群众开展免费测听力活动，共测听 67 人，发放 90 余份科普宣传资料</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与内蒙古民族大学附属医院康复保健分院、开发区内与市残疾人康复托养中心临近部分社区开展爱眼 日宣传周活动</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联合推出免费视力普查、屈光检查、色觉检查、 视野筛查公益活动共检测了 50 余人</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对通辽经济技术开发区残疾人专职委员和通辽市肢残协会中的部分残疾人共计 32 人，举办了心理 健康知识普及活动</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为各旗县残联发放肢体辅助器具，包括但不限于护理床、轮椅、腋拐、坐便椅等辅具共计 663 件</w:t>
      </w:r>
      <w:r>
        <w:rPr>
          <w:rFonts w:hint="eastAsia" w:ascii="仿宋" w:hAnsi="仿宋" w:eastAsia="仿宋" w:cs="仿宋"/>
          <w:spacing w:val="17"/>
          <w:sz w:val="31"/>
          <w:szCs w:val="31"/>
          <w:lang w:eastAsia="zh-CN"/>
        </w:rPr>
        <w:t>；</w:t>
      </w:r>
      <w:r>
        <w:rPr>
          <w:rFonts w:hint="eastAsia" w:ascii="仿宋" w:hAnsi="仿宋" w:eastAsia="仿宋" w:cs="仿宋"/>
          <w:spacing w:val="17"/>
          <w:sz w:val="31"/>
          <w:szCs w:val="31"/>
        </w:rPr>
        <w:t>赴丑小鸭特教学校开展眼健康义诊活动，为在校 50 余名特殊儿童 进行视力、色觉、屈光等相关检查。</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仿宋_GB2312" w:hAnsi="仿宋_GB2312" w:eastAsia="仿宋_GB2312" w:cs="仿宋_GB2312"/>
          <w:color w:val="0E00FE"/>
          <w:kern w:val="0"/>
          <w:sz w:val="27"/>
          <w:szCs w:val="27"/>
        </w:rPr>
        <w:t xml:space="preserve">  </w:t>
      </w: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通辽市残疾人康复托养中心 2024年度收入、支出决算总计均为</w:t>
      </w:r>
      <w:r>
        <w:rPr>
          <w:rFonts w:eastAsia="Times New Roman"/>
          <w:color w:val="000000"/>
          <w:kern w:val="0"/>
          <w:sz w:val="27"/>
          <w:szCs w:val="27"/>
          <w:u w:val="single" w:color="000000"/>
        </w:rPr>
        <w:t xml:space="preserve"> 326.09</w:t>
      </w:r>
      <w:r>
        <w:rPr>
          <w:rFonts w:ascii="仿宋_GB2312" w:hAnsi="仿宋_GB2312" w:eastAsia="仿宋_GB2312" w:cs="仿宋_GB2312"/>
          <w:color w:val="000000"/>
          <w:kern w:val="0"/>
          <w:sz w:val="27"/>
          <w:szCs w:val="27"/>
        </w:rPr>
        <w:t>万元。与年初预算相比，收、支总计各减少</w:t>
      </w:r>
      <w:r>
        <w:rPr>
          <w:rFonts w:eastAsia="Times New Roman"/>
          <w:color w:val="000000"/>
          <w:kern w:val="0"/>
          <w:sz w:val="27"/>
          <w:szCs w:val="27"/>
          <w:u w:val="single" w:color="000000"/>
        </w:rPr>
        <w:t xml:space="preserve"> 3.51</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1.06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住房保障支出减少</w:t>
      </w:r>
      <w:r>
        <w:rPr>
          <w:rFonts w:ascii="仿宋_GB2312" w:hAnsi="仿宋_GB2312" w:eastAsia="仿宋_GB2312" w:cs="仿宋_GB2312"/>
          <w:color w:val="000000"/>
          <w:kern w:val="0"/>
          <w:sz w:val="27"/>
          <w:szCs w:val="27"/>
        </w:rPr>
        <w:t>；与上年决算相比，收、支总计各增加</w:t>
      </w:r>
      <w:r>
        <w:rPr>
          <w:rFonts w:eastAsia="Times New Roman"/>
          <w:color w:val="000000"/>
          <w:kern w:val="0"/>
          <w:sz w:val="27"/>
          <w:szCs w:val="27"/>
          <w:u w:val="single" w:color="000000"/>
        </w:rPr>
        <w:t xml:space="preserve"> 20.66</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6.76</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326.09</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20.66</w:t>
      </w:r>
      <w:r>
        <w:rPr>
          <w:rFonts w:ascii="仿宋_GB2312" w:hAnsi="仿宋_GB2312" w:eastAsia="仿宋_GB2312" w:cs="仿宋_GB2312"/>
          <w:color w:val="000000"/>
          <w:kern w:val="0"/>
          <w:sz w:val="27"/>
          <w:szCs w:val="27"/>
        </w:rPr>
        <w:t>万元，增长</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6.76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社会保障和就业支出</w:t>
      </w:r>
      <w:r>
        <w:rPr>
          <w:rFonts w:hint="eastAsia" w:ascii="仿宋_GB2312" w:hAnsi="仿宋_GB2312" w:eastAsia="仿宋_GB2312" w:cs="仿宋_GB2312"/>
          <w:color w:val="000000"/>
          <w:kern w:val="0"/>
          <w:sz w:val="27"/>
          <w:szCs w:val="27"/>
          <w:lang w:val="en-US" w:eastAsia="zh-CN"/>
        </w:rPr>
        <w:t>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0</w:t>
      </w:r>
      <w:r>
        <w:rPr>
          <w:rFonts w:ascii="仿宋_GB2312" w:hAnsi="仿宋_GB2312" w:eastAsia="仿宋_GB2312" w:cs="仿宋_GB2312"/>
          <w:color w:val="000000"/>
          <w:kern w:val="0"/>
          <w:sz w:val="27"/>
          <w:szCs w:val="27"/>
        </w:rPr>
        <w:t>万元。与上年决算相比，增加（减少）</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万元，增长（下降）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326.09</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20.68</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6.77</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社会保障和就业支出</w:t>
      </w:r>
      <w:r>
        <w:rPr>
          <w:rFonts w:hint="eastAsia" w:ascii="仿宋_GB2312" w:hAnsi="仿宋_GB2312" w:eastAsia="仿宋_GB2312" w:cs="仿宋_GB2312"/>
          <w:color w:val="000000"/>
          <w:kern w:val="0"/>
          <w:sz w:val="27"/>
          <w:szCs w:val="27"/>
          <w:lang w:val="en-US" w:eastAsia="zh-CN"/>
        </w:rPr>
        <w:t>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。与上年决算相比，减少</w:t>
      </w:r>
      <w:r>
        <w:rPr>
          <w:rFonts w:ascii="times_new_roman" w:hAnsi="times_new_roman" w:eastAsia="times_new_roman" w:cs="times_new_roman"/>
          <w:color w:val="000000"/>
          <w:kern w:val="0"/>
          <w:sz w:val="27"/>
          <w:szCs w:val="27"/>
          <w:u w:val="single" w:color="000000"/>
        </w:rPr>
        <w:t> 0.02</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万元。结转和结余事项：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。与上年决算相比，增加（减少）</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万元，增长（下降）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420485" cy="4012565"/>
            <wp:effectExtent l="0" t="0" r="1841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420485" cy="4012565"/>
                    </a:xfrm>
                    <a:prstGeom prst="rect">
                      <a:avLst/>
                    </a:prstGeom>
                    <a:noFill/>
                    <a:ln w="9525">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2024年度本年支出决算合计</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255.12</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78.24</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70.96</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21.76</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386830" cy="3992245"/>
            <wp:effectExtent l="0" t="0" r="1397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6386830" cy="3992245"/>
                    </a:xfrm>
                    <a:prstGeom prst="rect">
                      <a:avLst/>
                    </a:prstGeom>
                    <a:noFill/>
                    <a:ln w="9525">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万元，与年初预算相比，收、支总计各减少</w:t>
      </w:r>
      <w:r>
        <w:rPr>
          <w:rFonts w:ascii="times_new_roman" w:hAnsi="times_new_roman" w:eastAsia="times_new_roman" w:cs="times_new_roman"/>
          <w:color w:val="000000"/>
          <w:kern w:val="0"/>
          <w:sz w:val="27"/>
          <w:szCs w:val="27"/>
          <w:u w:val="single" w:color="000000"/>
        </w:rPr>
        <w:t> 3.51</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1.06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住房保障支出减少</w:t>
      </w:r>
      <w:r>
        <w:rPr>
          <w:rFonts w:ascii="仿宋_GB2312" w:hAnsi="仿宋_GB2312" w:eastAsia="仿宋_GB2312" w:cs="仿宋_GB2312"/>
          <w:color w:val="000000"/>
          <w:kern w:val="0"/>
          <w:sz w:val="27"/>
          <w:szCs w:val="27"/>
        </w:rPr>
        <w:t>；与上年决算相比，收、支总计各增加</w:t>
      </w:r>
      <w:r>
        <w:rPr>
          <w:rFonts w:ascii="times_new_roman" w:hAnsi="times_new_roman" w:eastAsia="times_new_roman" w:cs="times_new_roman"/>
          <w:color w:val="000000"/>
          <w:kern w:val="0"/>
          <w:sz w:val="27"/>
          <w:szCs w:val="27"/>
          <w:u w:val="single" w:color="000000"/>
        </w:rPr>
        <w:t> 20.69</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xml:space="preserve"> 6.78</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社会保障和就业支出</w:t>
      </w:r>
      <w:r>
        <w:rPr>
          <w:rFonts w:hint="eastAsia" w:ascii="仿宋_GB2312" w:hAnsi="仿宋_GB2312" w:eastAsia="仿宋_GB2312" w:cs="仿宋_GB2312"/>
          <w:color w:val="000000"/>
          <w:kern w:val="0"/>
          <w:sz w:val="27"/>
          <w:szCs w:val="27"/>
          <w:lang w:val="en-US" w:eastAsia="zh-CN"/>
        </w:rPr>
        <w:t>增加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326.09</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329.59</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98.94</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一</w:t>
      </w:r>
      <w:r>
        <w:rPr>
          <w:rFonts w:ascii="kai_ti_gb2312" w:hAnsi="kai_ti_gb2312" w:eastAsia="kai_ti_gb2312" w:cs="kai_ti_gb2312"/>
          <w:b/>
          <w:bCs/>
          <w:color w:val="000000"/>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292.75</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2.00</w:t>
      </w:r>
      <w:r>
        <w:rPr>
          <w:rFonts w:ascii="仿宋_GB2312" w:hAnsi="仿宋_GB2312" w:eastAsia="仿宋_GB2312" w:cs="仿宋_GB2312"/>
          <w:color w:val="000000"/>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1</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行政事业单位养老支出（款）机关事业单位基本养老保险缴费支出（项）。年初预算</w:t>
      </w:r>
      <w:r>
        <w:rPr>
          <w:rFonts w:hint="eastAsia" w:ascii="times_new_roman" w:hAnsi="times_new_roman" w:cs="times_new_roman"/>
          <w:color w:val="000000"/>
          <w:kern w:val="0"/>
          <w:sz w:val="27"/>
          <w:szCs w:val="27"/>
          <w:u w:val="single" w:color="000000"/>
          <w:lang w:val="en-US" w:eastAsia="zh-CN"/>
        </w:rPr>
        <w:t>27.79</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30.73</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100.11</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补缴职工保险</w:t>
      </w:r>
      <w:r>
        <w:rPr>
          <w:rFonts w:ascii="仿宋_GB2312" w:hAnsi="仿宋_GB2312" w:eastAsia="仿宋_GB2312" w:cs="仿宋_GB2312"/>
          <w:color w:val="000000"/>
          <w:kern w:val="0"/>
          <w:sz w:val="27"/>
          <w:szCs w:val="27"/>
        </w:rPr>
        <w:t>。</w:t>
      </w:r>
    </w:p>
    <w:p>
      <w:pPr>
        <w:widowControl/>
        <w:spacing w:before="240" w:after="240"/>
        <w:ind w:firstLine="360"/>
        <w:jc w:val="left"/>
        <w:rPr>
          <w:rFonts w:ascii="仿宋_GB2312" w:hAnsi="仿宋_GB2312" w:eastAsia="仿宋_GB2312" w:cs="仿宋_GB2312"/>
          <w:color w:val="000000"/>
          <w:kern w:val="0"/>
          <w:sz w:val="27"/>
          <w:szCs w:val="27"/>
        </w:rPr>
      </w:pPr>
      <w:r>
        <w:rPr>
          <w:rFonts w:hint="eastAsia" w:ascii="times_new_roman" w:hAnsi="times_new_roman" w:cs="times_new_roman"/>
          <w:color w:val="000000"/>
          <w:kern w:val="0"/>
          <w:sz w:val="27"/>
          <w:szCs w:val="27"/>
          <w:lang w:val="en-US" w:eastAsia="zh-CN"/>
        </w:rPr>
        <w:t>2</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行政事业单位养老支出（款）机关事业单位职业年金缴费支出（项）。年初预算</w:t>
      </w:r>
      <w:r>
        <w:rPr>
          <w:rFonts w:hint="eastAsia" w:ascii="times_new_roman" w:hAnsi="times_new_roman" w:cs="times_new_roman"/>
          <w:color w:val="000000"/>
          <w:kern w:val="0"/>
          <w:sz w:val="27"/>
          <w:szCs w:val="27"/>
          <w:u w:val="single" w:color="000000"/>
          <w:lang w:val="en-US" w:eastAsia="zh-CN"/>
        </w:rPr>
        <w:t>14.00</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1.66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11.86</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退休人员职业年金未支出</w:t>
      </w:r>
      <w:r>
        <w:rPr>
          <w:rFonts w:ascii="仿宋_GB2312" w:hAnsi="仿宋_GB2312" w:eastAsia="仿宋_GB2312" w:cs="仿宋_GB2312"/>
          <w:color w:val="000000"/>
          <w:kern w:val="0"/>
          <w:sz w:val="27"/>
          <w:szCs w:val="27"/>
        </w:rPr>
        <w:t>。</w:t>
      </w:r>
    </w:p>
    <w:p>
      <w:pPr>
        <w:widowControl/>
        <w:spacing w:before="240" w:after="240"/>
        <w:jc w:val="left"/>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kern w:val="0"/>
          <w:sz w:val="27"/>
          <w:szCs w:val="27"/>
          <w:lang w:val="en-US" w:eastAsia="zh-CN"/>
        </w:rPr>
        <w:t>3</w:t>
      </w:r>
      <w:r>
        <w:rPr>
          <w:rFonts w:ascii="times_new_roman" w:hAnsi="times_new_roman" w:eastAsia="times_new_roman" w:cs="times_new_roman"/>
          <w:kern w:val="0"/>
          <w:sz w:val="27"/>
          <w:szCs w:val="27"/>
        </w:rPr>
        <w:t>．</w:t>
      </w:r>
      <w:r>
        <w:rPr>
          <w:rFonts w:hint="eastAsia" w:ascii="times_new_roman" w:hAnsi="times_new_roman" w:cs="times_new_roman"/>
          <w:kern w:val="0"/>
          <w:sz w:val="27"/>
          <w:szCs w:val="27"/>
          <w:lang w:val="en-US" w:eastAsia="zh-CN"/>
        </w:rPr>
        <w:t>残疾人事业支出</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val="en-US" w:eastAsia="zh-CN"/>
        </w:rPr>
        <w:t>其他残疾人事业支出支出（项）</w:t>
      </w:r>
      <w:r>
        <w:rPr>
          <w:rFonts w:ascii="fang_song_gb2312" w:hAnsi="fang_song_gb2312" w:eastAsia="fang_song_gb2312" w:cs="fang_song_gb2312"/>
          <w:kern w:val="0"/>
          <w:sz w:val="27"/>
          <w:szCs w:val="27"/>
        </w:rPr>
        <w:t>。年初预算</w:t>
      </w:r>
      <w:r>
        <w:rPr>
          <w:rFonts w:hint="eastAsia" w:ascii="times_new_roman" w:hAnsi="times_new_roman" w:cs="times_new_roman"/>
          <w:kern w:val="0"/>
          <w:sz w:val="27"/>
          <w:szCs w:val="27"/>
          <w:u w:val="single"/>
          <w:lang w:val="en-US" w:eastAsia="zh-CN"/>
        </w:rPr>
        <w:t>251.41</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257.41</w:t>
      </w:r>
      <w:r>
        <w:rPr>
          <w:rFonts w:ascii="fang_song_gb2312" w:hAnsi="fang_song_gb2312" w:eastAsia="fang_song_gb2312" w:cs="fang_song_gb2312"/>
          <w:kern w:val="0"/>
          <w:sz w:val="27"/>
          <w:szCs w:val="27"/>
        </w:rPr>
        <w:t>元，完成年初预算的</w:t>
      </w:r>
      <w:r>
        <w:rPr>
          <w:rFonts w:hint="eastAsia" w:ascii="times_new_roman" w:hAnsi="times_new_roman" w:cs="times_new_roman"/>
          <w:kern w:val="0"/>
          <w:sz w:val="27"/>
          <w:szCs w:val="27"/>
          <w:u w:val="single"/>
          <w:lang w:val="en-US" w:eastAsia="zh-CN"/>
        </w:rPr>
        <w:t>101.18</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val="en-US" w:eastAsia="zh-CN"/>
        </w:rPr>
        <w:t>转隶1名正高职工，工资较高</w:t>
      </w:r>
      <w:r>
        <w:rPr>
          <w:rFonts w:ascii="fang_song_gb2312" w:hAnsi="fang_song_gb2312" w:eastAsia="fang_song_gb2312" w:cs="fang_song_gb2312"/>
          <w:kern w:val="0"/>
          <w:sz w:val="27"/>
          <w:szCs w:val="27"/>
        </w:rPr>
        <w:t>。</w:t>
      </w:r>
    </w:p>
    <w:p>
      <w:pPr>
        <w:widowControl/>
        <w:spacing w:before="240" w:after="240"/>
        <w:ind w:firstLine="360"/>
        <w:jc w:val="left"/>
        <w:rPr>
          <w:rFonts w:ascii="仿宋_GB2312" w:hAnsi="仿宋_GB2312" w:eastAsia="仿宋_GB2312" w:cs="仿宋_GB2312"/>
          <w:color w:val="000000"/>
          <w:kern w:val="0"/>
          <w:sz w:val="27"/>
          <w:szCs w:val="27"/>
        </w:rPr>
      </w:pPr>
      <w:r>
        <w:rPr>
          <w:rFonts w:hint="eastAsia" w:ascii="times_new_roman" w:hAnsi="times_new_roman" w:cs="times_new_roman"/>
          <w:color w:val="000000"/>
          <w:kern w:val="0"/>
          <w:sz w:val="27"/>
          <w:szCs w:val="27"/>
          <w:lang w:val="en-US" w:eastAsia="zh-CN"/>
        </w:rPr>
        <w:t>4</w:t>
      </w:r>
      <w:r>
        <w:rPr>
          <w:rFonts w:ascii="times_new_roman" w:hAnsi="times_new_roman" w:eastAsia="times_new_roman" w:cs="times_new_roman"/>
          <w:color w:val="000000"/>
          <w:kern w:val="0"/>
          <w:sz w:val="27"/>
          <w:szCs w:val="27"/>
        </w:rPr>
        <w:t>．</w:t>
      </w:r>
      <w:r>
        <w:rPr>
          <w:rFonts w:hint="eastAsia" w:ascii="仿宋_GB2312" w:hAnsi="仿宋_GB2312" w:eastAsia="仿宋_GB2312" w:cs="仿宋_GB2312"/>
          <w:color w:val="000000"/>
          <w:kern w:val="0"/>
          <w:sz w:val="27"/>
          <w:szCs w:val="27"/>
          <w:lang w:val="en-US" w:eastAsia="zh-CN"/>
        </w:rPr>
        <w:t>其他残疾人事业支出</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lang w:val="en-US" w:eastAsia="zh-CN"/>
        </w:rPr>
        <w:t>其他社会保障和就业支出</w:t>
      </w:r>
      <w:r>
        <w:rPr>
          <w:rFonts w:ascii="仿宋_GB2312" w:hAnsi="仿宋_GB2312" w:eastAsia="仿宋_GB2312" w:cs="仿宋_GB2312"/>
          <w:color w:val="000000"/>
          <w:kern w:val="0"/>
          <w:sz w:val="27"/>
          <w:szCs w:val="27"/>
        </w:rPr>
        <w:t>（项）。年初预算</w:t>
      </w:r>
      <w:r>
        <w:rPr>
          <w:rFonts w:hint="eastAsia" w:ascii="times_new_roman" w:hAnsi="times_new_roman" w:cs="times_new_roman"/>
          <w:color w:val="000000"/>
          <w:kern w:val="0"/>
          <w:sz w:val="27"/>
          <w:szCs w:val="27"/>
          <w:u w:val="single" w:color="000000"/>
          <w:lang w:val="en-US" w:eastAsia="zh-CN"/>
        </w:rPr>
        <w:t>1.56</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2.96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189.74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补缴以往职工工伤失业保险</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二</w:t>
      </w:r>
      <w:r>
        <w:rPr>
          <w:rFonts w:ascii="kai_ti_gb2312" w:hAnsi="kai_ti_gb2312" w:eastAsia="kai_ti_gb2312" w:cs="kai_ti_gb2312"/>
          <w:b/>
          <w:bCs/>
          <w:color w:val="000000"/>
          <w:kern w:val="0"/>
          <w:sz w:val="27"/>
          <w:szCs w:val="27"/>
        </w:rPr>
        <w:t>）卫生健康支出（类）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19.07</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 xml:space="preserve"> 5.07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1</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行政事业单位医疗（款）事业单位医疗（项）。年初预算</w:t>
      </w:r>
      <w:r>
        <w:rPr>
          <w:rFonts w:hint="eastAsia" w:ascii="times_new_roman" w:hAnsi="times_new_roman" w:cs="times_new_roman"/>
          <w:color w:val="000000"/>
          <w:kern w:val="0"/>
          <w:sz w:val="27"/>
          <w:szCs w:val="27"/>
          <w:u w:val="single" w:color="000000"/>
          <w:lang w:val="en-US" w:eastAsia="zh-CN"/>
        </w:rPr>
        <w:t>12.26</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17.52</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142.90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补缴职工医疗保险</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times_new_roman" w:hAnsi="times_new_roman" w:cs="times_new_roman"/>
          <w:color w:val="000000"/>
          <w:kern w:val="0"/>
          <w:sz w:val="27"/>
          <w:szCs w:val="27"/>
          <w:lang w:val="en-US" w:eastAsia="zh-CN"/>
        </w:rPr>
        <w:t>2</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行政事业单位医疗（款）公务员医疗补助（项）。年初预算</w:t>
      </w:r>
      <w:r>
        <w:rPr>
          <w:rFonts w:hint="eastAsia" w:ascii="times_new_roman" w:hAnsi="times_new_roman" w:cs="times_new_roman"/>
          <w:color w:val="000000"/>
          <w:kern w:val="0"/>
          <w:sz w:val="27"/>
          <w:szCs w:val="27"/>
          <w:u w:val="single" w:color="000000"/>
          <w:lang w:val="en-US" w:eastAsia="zh-CN"/>
        </w:rPr>
        <w:t>1.74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1.55</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89.08</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新考入职工缴纳基数小</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三</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14.26</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6.58</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住房改革支出（款）住房公积金（项）。年初预算</w:t>
      </w:r>
      <w:r>
        <w:rPr>
          <w:rFonts w:hint="eastAsia" w:ascii="times_new_roman" w:hAnsi="times_new_roman" w:cs="times_new_roman"/>
          <w:color w:val="000000"/>
          <w:kern w:val="0"/>
          <w:sz w:val="27"/>
          <w:szCs w:val="27"/>
          <w:u w:val="single" w:color="000000"/>
          <w:lang w:val="en-US" w:eastAsia="zh-CN"/>
        </w:rPr>
        <w:t>20.84</w:t>
      </w:r>
      <w:r>
        <w:rPr>
          <w:rFonts w:ascii="仿宋_GB2312" w:hAnsi="仿宋_GB2312" w:eastAsia="仿宋_GB2312" w:cs="仿宋_GB2312"/>
          <w:color w:val="000000"/>
          <w:kern w:val="0"/>
          <w:sz w:val="27"/>
          <w:szCs w:val="27"/>
        </w:rPr>
        <w:t>万元，支出决算</w:t>
      </w:r>
      <w:r>
        <w:rPr>
          <w:rFonts w:hint="eastAsia" w:ascii="times_new_roman" w:hAnsi="times_new_roman" w:cs="times_new_roman"/>
          <w:color w:val="000000"/>
          <w:kern w:val="0"/>
          <w:sz w:val="27"/>
          <w:szCs w:val="27"/>
          <w:u w:val="single" w:color="000000"/>
          <w:lang w:val="en-US" w:eastAsia="zh-CN"/>
        </w:rPr>
        <w:t>14.26</w:t>
      </w:r>
      <w:r>
        <w:rPr>
          <w:rFonts w:ascii="仿宋_GB2312" w:hAnsi="仿宋_GB2312" w:eastAsia="仿宋_GB2312" w:cs="仿宋_GB2312"/>
          <w:color w:val="000000"/>
          <w:kern w:val="0"/>
          <w:sz w:val="27"/>
          <w:szCs w:val="27"/>
        </w:rPr>
        <w:t>万元，完成年初预算的</w:t>
      </w:r>
      <w:r>
        <w:rPr>
          <w:rFonts w:hint="eastAsia" w:ascii="times_new_roman" w:hAnsi="times_new_roman" w:cs="times_new_roman"/>
          <w:color w:val="000000"/>
          <w:kern w:val="0"/>
          <w:sz w:val="27"/>
          <w:szCs w:val="27"/>
          <w:u w:val="single" w:color="000000"/>
          <w:lang w:val="en-US" w:eastAsia="zh-CN"/>
        </w:rPr>
        <w:t>68.43</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退休2人，新转入2名职工缴费基数低</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2024年度一般公共预算财政拨款基本支出决算</w:t>
      </w:r>
      <w:r>
        <w:rPr>
          <w:rFonts w:ascii="times_new_roman" w:hAnsi="times_new_roman" w:eastAsia="times_new_roman" w:cs="times_new_roman"/>
          <w:color w:val="000000"/>
          <w:kern w:val="0"/>
          <w:sz w:val="27"/>
          <w:szCs w:val="27"/>
          <w:u w:val="single" w:color="000000"/>
        </w:rPr>
        <w:t> 255.12</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247.96</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。主要包括：基本工资、津贴补贴、奖金、绩效工资、机关事业单位基本养老保险缴费、职业年金缴费、职工基本医疗保险缴费、公务员医疗补助缴费、</w:t>
      </w:r>
      <w:r>
        <w:rPr>
          <w:rFonts w:hint="eastAsia" w:ascii="仿宋_GB2312" w:hAnsi="仿宋_GB2312" w:eastAsia="仿宋_GB2312" w:cs="仿宋_GB2312"/>
          <w:color w:val="000000"/>
          <w:kern w:val="0"/>
          <w:sz w:val="27"/>
          <w:szCs w:val="27"/>
          <w:lang w:val="en-US" w:eastAsia="zh-CN"/>
        </w:rPr>
        <w:t>其他社会保障缴费、</w:t>
      </w:r>
      <w:r>
        <w:rPr>
          <w:rFonts w:ascii="仿宋_GB2312" w:hAnsi="仿宋_GB2312" w:eastAsia="仿宋_GB2312" w:cs="仿宋_GB2312"/>
          <w:color w:val="000000"/>
          <w:kern w:val="0"/>
          <w:sz w:val="27"/>
          <w:szCs w:val="27"/>
        </w:rPr>
        <w:t>住房公积金、退休</w:t>
      </w:r>
      <w:r>
        <w:rPr>
          <w:rFonts w:hint="eastAsia" w:ascii="仿宋_GB2312" w:hAnsi="仿宋_GB2312" w:eastAsia="仿宋_GB2312" w:cs="仿宋_GB2312"/>
          <w:color w:val="000000"/>
          <w:kern w:val="0"/>
          <w:sz w:val="27"/>
          <w:szCs w:val="27"/>
          <w:lang w:val="en-US" w:eastAsia="zh-CN"/>
        </w:rPr>
        <w:t>费</w:t>
      </w:r>
      <w:r>
        <w:rPr>
          <w:rFonts w:ascii="仿宋_GB2312" w:hAnsi="仿宋_GB2312" w:eastAsia="仿宋_GB2312" w:cs="仿宋_GB2312"/>
          <w:color w:val="000000"/>
          <w:kern w:val="0"/>
          <w:sz w:val="27"/>
          <w:szCs w:val="27"/>
        </w:rPr>
        <w:t>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7.16</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。主要包括：办公费、差旅费、福利费、其他交通费用</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其他商品和服务支出</w:t>
      </w:r>
      <w:r>
        <w:rPr>
          <w:rFonts w:ascii="仿宋_GB2312" w:hAnsi="仿宋_GB2312" w:eastAsia="仿宋_GB2312" w:cs="仿宋_GB2312"/>
          <w:color w:val="000000"/>
          <w:kern w:val="0"/>
          <w:sz w:val="27"/>
          <w:szCs w:val="27"/>
        </w:rPr>
        <w:t>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70.96</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一</w:t>
      </w:r>
      <w:r>
        <w:rPr>
          <w:rFonts w:ascii="仿宋_GB2312" w:hAnsi="仿宋_GB2312" w:eastAsia="仿宋_GB2312" w:cs="仿宋_GB2312"/>
          <w:b/>
          <w:bCs/>
          <w:color w:val="000000"/>
          <w:kern w:val="0"/>
          <w:sz w:val="27"/>
          <w:szCs w:val="27"/>
        </w:rPr>
        <w:t>）商品和服务支出</w:t>
      </w:r>
      <w:r>
        <w:rPr>
          <w:rFonts w:eastAsia="Times New Roman"/>
          <w:b/>
          <w:bCs/>
          <w:color w:val="000000"/>
          <w:kern w:val="0"/>
          <w:sz w:val="27"/>
          <w:szCs w:val="27"/>
          <w:u w:val="single" w:color="000000"/>
        </w:rPr>
        <w:t xml:space="preserve"> 70.96</w:t>
      </w:r>
      <w:r>
        <w:rPr>
          <w:rFonts w:ascii="仿宋_GB2312" w:hAnsi="仿宋_GB2312" w:eastAsia="仿宋_GB2312" w:cs="仿宋_GB2312"/>
          <w:color w:val="000000"/>
          <w:kern w:val="0"/>
          <w:sz w:val="27"/>
          <w:szCs w:val="27"/>
        </w:rPr>
        <w:t>万元。主要包括：办公费、差旅费、专用材料费</w:t>
      </w:r>
      <w:r>
        <w:rPr>
          <w:rFonts w:hint="eastAsia" w:ascii="仿宋_GB2312" w:hAnsi="仿宋_GB2312" w:eastAsia="仿宋_GB2312" w:cs="仿宋_GB2312"/>
          <w:color w:val="000000"/>
          <w:kern w:val="0"/>
          <w:sz w:val="27"/>
          <w:szCs w:val="27"/>
          <w:lang w:val="en-US" w:eastAsia="zh-CN"/>
        </w:rPr>
        <w:t>和</w:t>
      </w:r>
      <w:r>
        <w:rPr>
          <w:rFonts w:ascii="仿宋_GB2312" w:hAnsi="仿宋_GB2312" w:eastAsia="仿宋_GB2312" w:cs="仿宋_GB2312"/>
          <w:color w:val="000000"/>
          <w:kern w:val="0"/>
          <w:sz w:val="27"/>
          <w:szCs w:val="27"/>
        </w:rPr>
        <w:t>其他交通费用等。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%。其中：因公出国（境）费全年预算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%；公务接待费全年预算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%。2024年度一般公共预算财政拨款“三公”经费全年预算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万元，与预算差异原因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年度财政拨款“三公”经费支出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ascii="times_new_roman" w:hAnsi="times_new_roman" w:eastAsia="times_new_roman" w:cs="times_new_roman"/>
          <w:color w:val="000000"/>
          <w:kern w:val="0"/>
          <w:sz w:val="27"/>
          <w:szCs w:val="27"/>
        </w:rPr>
        <w:t>1.</w:t>
      </w:r>
      <w:r>
        <w:rPr>
          <w:rFonts w:ascii="仿宋_GB2312" w:hAnsi="仿宋_GB2312" w:eastAsia="仿宋_GB2312" w:cs="仿宋_GB2312"/>
          <w:color w:val="000000"/>
          <w:kern w:val="0"/>
          <w:sz w:val="27"/>
          <w:szCs w:val="27"/>
        </w:rPr>
        <w:t>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万元，全年出国（境）团组</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个，累计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color w:val="000000"/>
          <w:kern w:val="0"/>
          <w:sz w:val="27"/>
          <w:szCs w:val="27"/>
        </w:rPr>
        <w:t>        2.</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（1）公务用车购置支出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万元。本年度使用财政拨款购置公务用车</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（2）公务用车运行维护费支出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日，使用财政拨款开支的公务用车保有量为</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万元。其中：国内公务接待支出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；国（境）外公务接待支出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九、政府性基金预算财政拨款支出决算情况说明</w:t>
      </w:r>
    </w:p>
    <w:p>
      <w:pPr>
        <w:widowControl/>
        <w:spacing w:before="240" w:after="240"/>
        <w:ind w:firstLine="393"/>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年度政府性基金预算财政拨款支出决算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 xml:space="preserve"> 0.41</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本年度没有彩票公益基金</w:t>
      </w:r>
      <w:r>
        <w:rPr>
          <w:rFonts w:ascii="仿宋_GB2312" w:hAnsi="仿宋_GB2312" w:eastAsia="仿宋_GB2312" w:cs="仿宋_GB2312"/>
          <w:color w:val="000000"/>
          <w:kern w:val="0"/>
          <w:sz w:val="27"/>
          <w:szCs w:val="27"/>
        </w:rPr>
        <w:t>。其中：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fang_song_gb2312" w:hAnsi="fang_song_gb2312" w:eastAsia="fang_song_gb2312" w:cs="fang_song_gb2312"/>
          <w:kern w:val="0"/>
          <w:sz w:val="27"/>
          <w:szCs w:val="27"/>
        </w:rPr>
        <w:t>（一）</w:t>
      </w:r>
      <w:r>
        <w:rPr>
          <w:rFonts w:hint="eastAsia" w:ascii="fang_song_gb2312" w:hAnsi="fang_song_gb2312" w:cs="fang_song_gb2312"/>
          <w:kern w:val="0"/>
          <w:sz w:val="27"/>
          <w:szCs w:val="27"/>
          <w:lang w:val="en-US" w:eastAsia="zh-CN"/>
        </w:rPr>
        <w:t>其他支出（类）彩票公益金安排的支出（款）用于残疾人事业的彩票公益金支出（项）支出</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十、国有资本经营预算财政拨款支出决算情况说明</w:t>
      </w:r>
    </w:p>
    <w:p>
      <w:pPr>
        <w:widowControl/>
        <w:spacing w:before="240" w:after="240"/>
        <w:ind w:firstLine="393"/>
        <w:jc w:val="left"/>
        <w:rPr>
          <w:rFonts w:ascii="Times New Roman" w:hAnsi="Times New Roman" w:eastAsia="Times New Roman" w:cs="Times New Roman"/>
          <w:kern w:val="0"/>
          <w:sz w:val="24"/>
        </w:rPr>
      </w:pP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年度国有资本经营预算财政拨款支出决算</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2024年度公用经费支出决算</w:t>
      </w:r>
      <w:r>
        <w:rPr>
          <w:rFonts w:eastAsia="Times New Roman"/>
          <w:color w:val="000000"/>
          <w:kern w:val="0"/>
          <w:sz w:val="27"/>
          <w:szCs w:val="27"/>
          <w:u w:val="single" w:color="000000"/>
        </w:rPr>
        <w:t xml:space="preserve"> 7.16</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0.59</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7.66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存在银公务卡锁定差旅费未支付成功情况</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年度政府采购支出总额</w:t>
      </w:r>
      <w:r>
        <w:rPr>
          <w:rFonts w:ascii="times_new_roman" w:hAnsi="times_new_roman" w:eastAsia="times_new_roman" w:cs="times_new_roman"/>
          <w:color w:val="000000"/>
          <w:kern w:val="0"/>
          <w:sz w:val="27"/>
          <w:szCs w:val="27"/>
          <w:u w:val="single" w:color="000000"/>
        </w:rPr>
        <w:t> 0.18</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0.18</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0.18</w:t>
      </w:r>
      <w:r>
        <w:rPr>
          <w:rFonts w:ascii="仿宋_GB2312" w:hAnsi="仿宋_GB2312" w:eastAsia="仿宋_GB2312" w:cs="仿宋_GB2312"/>
          <w:color w:val="000000"/>
          <w:kern w:val="0"/>
          <w:sz w:val="27"/>
          <w:szCs w:val="27"/>
        </w:rPr>
        <w:t>万元，占政府采购支出总额的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%，其中：授予小微企业合同金额</w:t>
      </w:r>
      <w:r>
        <w:rPr>
          <w:rFonts w:ascii="times_new_roman" w:hAnsi="times_new_roman" w:eastAsia="times_new_roman" w:cs="times_new_roman"/>
          <w:color w:val="000000"/>
          <w:kern w:val="0"/>
          <w:sz w:val="27"/>
          <w:szCs w:val="27"/>
          <w:u w:val="single" w:color="000000"/>
        </w:rPr>
        <w:t>  0.18</w:t>
      </w:r>
      <w:r>
        <w:rPr>
          <w:rFonts w:ascii="仿宋_GB2312" w:hAnsi="仿宋_GB2312" w:eastAsia="仿宋_GB2312" w:cs="仿宋_GB2312"/>
          <w:color w:val="000000"/>
          <w:kern w:val="0"/>
          <w:sz w:val="27"/>
          <w:szCs w:val="27"/>
        </w:rPr>
        <w:t>万元，占政府采购支出总额的</w:t>
      </w:r>
      <w:r>
        <w:rPr>
          <w:rFonts w:hint="eastAsia" w:ascii="times_new_roman" w:hAnsi="times_new_roman" w:cs="times_new_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%；货物采购授予中小企业合同金额占货物支出金额的</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%，工程采购授予中小企业合同金额占工程支出金额的</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%，服务采购授予中小企业合同金额占服务支出金额的</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通辽市残疾人康复托养中心 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日，本部门（单位）共有车辆</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辆，其中：副部（省）级及以上领导用车</w:t>
      </w:r>
      <w:r>
        <w:rPr>
          <w:rFonts w:ascii="times_new_roman" w:hAnsi="times_new_roman" w:eastAsia="times_new_roman" w:cs="times_new_roman"/>
          <w:color w:val="000000"/>
          <w:kern w:val="0"/>
          <w:sz w:val="27"/>
          <w:szCs w:val="27"/>
          <w:u w:val="single" w:color="000000"/>
        </w:rPr>
        <w:t>0 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辆、应急保障用车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辆、执法执勤用车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辆、特种专业技术用车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辆、离退休干部服务用车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辆；单价100万元（含）以上的设备（不含车辆）</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ind w:firstLine="438"/>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通辽市残疾人康复托养中心 根据预算绩效管理要求组织对</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年一般公共预算项目支出全面开展绩效自评，其中一级项目</w:t>
      </w:r>
      <w:r>
        <w:rPr>
          <w:rFonts w:hint="eastAsia" w:ascii="times_new_roman" w:hAnsi="times_new_roman" w:cs="times_new_roman"/>
          <w:color w:val="000000"/>
          <w:kern w:val="0"/>
          <w:sz w:val="27"/>
          <w:szCs w:val="27"/>
          <w:u w:val="single" w:color="000000"/>
          <w:lang w:val="en-US" w:eastAsia="zh-CN"/>
        </w:rPr>
        <w:t>3</w:t>
      </w:r>
      <w:r>
        <w:rPr>
          <w:rFonts w:ascii="仿宋_GB2312" w:hAnsi="仿宋_GB2312" w:eastAsia="仿宋_GB2312" w:cs="仿宋_GB2312"/>
          <w:color w:val="000000"/>
          <w:kern w:val="0"/>
          <w:sz w:val="27"/>
          <w:szCs w:val="27"/>
        </w:rPr>
        <w:t>个，二级项目</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ascii="times_new_roman" w:hAnsi="times_new_roman" w:cs="times_new_roman"/>
          <w:color w:val="000000"/>
          <w:kern w:val="0"/>
          <w:sz w:val="27"/>
          <w:szCs w:val="27"/>
          <w:u w:val="single" w:color="000000"/>
          <w:lang w:val="en-US" w:eastAsia="zh-CN"/>
        </w:rPr>
        <w:t>74</w:t>
      </w:r>
      <w:r>
        <w:rPr>
          <w:rFonts w:ascii="仿宋_GB2312" w:hAnsi="仿宋_GB2312" w:eastAsia="仿宋_GB2312" w:cs="仿宋_GB2312"/>
          <w:color w:val="000000"/>
          <w:kern w:val="0"/>
          <w:sz w:val="27"/>
          <w:szCs w:val="27"/>
        </w:rPr>
        <w:t>万元，占一般公共预算项目支出总额的</w:t>
      </w:r>
      <w:r>
        <w:rPr>
          <w:rFonts w:ascii="times_new_roman" w:hAnsi="times_new_roman" w:eastAsia="times_new_roman" w:cs="times_new_roman"/>
          <w:color w:val="000000"/>
          <w:kern w:val="0"/>
          <w:sz w:val="27"/>
          <w:szCs w:val="27"/>
        </w:rPr>
        <w:t>100</w:t>
      </w:r>
      <w:r>
        <w:rPr>
          <w:rFonts w:ascii="仿宋_GB2312" w:hAnsi="仿宋_GB2312" w:eastAsia="仿宋_GB2312" w:cs="仿宋_GB2312"/>
          <w:color w:val="000000"/>
          <w:kern w:val="0"/>
          <w:sz w:val="27"/>
          <w:szCs w:val="27"/>
        </w:rPr>
        <w:t>%；政府性基金预算项目</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个，其中，一级项目</w:t>
      </w:r>
      <w:r>
        <w:rPr>
          <w:rFonts w:hint="eastAsia" w:ascii="times_new_roman" w:hAnsi="times_new_roman" w:cs="times_new_roman"/>
          <w:color w:val="000000"/>
          <w:kern w:val="0"/>
          <w:sz w:val="27"/>
          <w:szCs w:val="27"/>
          <w:u w:val="single" w:color="000000"/>
          <w:lang w:val="en-US" w:eastAsia="zh-CN"/>
        </w:rPr>
        <w:t>0</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个，二级项目</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万元，占应纳入绩效自评的政府性基金预算项目支出总额的</w:t>
      </w:r>
      <w:r>
        <w:rPr>
          <w:rFonts w:hint="eastAsia" w:ascii="times_new_roman" w:hAnsi="times_new_roman" w:cs="times_new_roman"/>
          <w:color w:val="000000"/>
          <w:kern w:val="0"/>
          <w:sz w:val="27"/>
          <w:szCs w:val="27"/>
          <w:lang w:val="en-US" w:eastAsia="zh-CN"/>
        </w:rPr>
        <w:t>0</w:t>
      </w:r>
      <w:r>
        <w:rPr>
          <w:rFonts w:ascii="times_new_roman" w:hAnsi="times_new_roman" w:eastAsia="times_new_roman" w:cs="times_new_roman"/>
          <w:color w:val="000000"/>
          <w:kern w:val="0"/>
          <w:sz w:val="27"/>
          <w:szCs w:val="27"/>
        </w:rPr>
        <w:t>%</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组织对“</w:t>
      </w:r>
      <w:r>
        <w:rPr>
          <w:rFonts w:hint="eastAsia" w:ascii="仿宋_GB2312" w:hAnsi="仿宋_GB2312" w:eastAsia="仿宋_GB2312" w:cs="仿宋_GB2312"/>
          <w:color w:val="000000"/>
          <w:kern w:val="0"/>
          <w:sz w:val="27"/>
          <w:szCs w:val="27"/>
          <w:lang w:val="en-US" w:eastAsia="zh-CN"/>
        </w:rPr>
        <w:t>规范化建设补助资金项目</w:t>
      </w: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3</w:t>
      </w:r>
      <w:r>
        <w:rPr>
          <w:rFonts w:ascii="仿宋_GB2312" w:hAnsi="仿宋_GB2312" w:eastAsia="仿宋_GB2312" w:cs="仿宋_GB2312"/>
          <w:color w:val="000000"/>
          <w:kern w:val="0"/>
          <w:sz w:val="27"/>
          <w:szCs w:val="27"/>
        </w:rPr>
        <w:t>  个项目开展了部门（单位）评价，涉及一般公共预算支出</w:t>
      </w:r>
      <w:r>
        <w:rPr>
          <w:rFonts w:hint="eastAsia" w:ascii="仿宋_GB2312" w:hAnsi="仿宋_GB2312" w:eastAsia="仿宋_GB2312" w:cs="仿宋_GB2312"/>
          <w:color w:val="000000"/>
          <w:kern w:val="0"/>
          <w:sz w:val="27"/>
          <w:szCs w:val="27"/>
          <w:lang w:val="en-US" w:eastAsia="zh-CN"/>
        </w:rPr>
        <w:t>74</w:t>
      </w:r>
      <w:r>
        <w:rPr>
          <w:rFonts w:ascii="仿宋_GB2312" w:hAnsi="仿宋_GB2312" w:eastAsia="仿宋_GB2312" w:cs="仿宋_GB2312"/>
          <w:color w:val="000000"/>
          <w:kern w:val="0"/>
          <w:sz w:val="27"/>
          <w:szCs w:val="27"/>
        </w:rPr>
        <w:t>万元，政府性基金支出</w:t>
      </w:r>
      <w:r>
        <w:rPr>
          <w:rFonts w:hint="eastAsia" w:ascii="仿宋_GB2312" w:hAnsi="仿宋_GB2312" w:eastAsia="仿宋_GB2312" w:cs="仿宋_GB2312"/>
          <w:color w:val="000000"/>
          <w:kern w:val="0"/>
          <w:sz w:val="27"/>
          <w:szCs w:val="27"/>
          <w:lang w:val="en-US" w:eastAsia="zh-CN"/>
        </w:rPr>
        <w:t>0</w:t>
      </w:r>
      <w:r>
        <w:rPr>
          <w:rFonts w:ascii="仿宋_GB2312" w:hAnsi="仿宋_GB2312" w:eastAsia="仿宋_GB2312" w:cs="仿宋_GB2312"/>
          <w:color w:val="000000"/>
          <w:kern w:val="0"/>
          <w:sz w:val="27"/>
          <w:szCs w:val="27"/>
        </w:rPr>
        <w:t>万元。从评价情况看，以上项目</w:t>
      </w:r>
      <w:r>
        <w:rPr>
          <w:rFonts w:hint="eastAsia" w:ascii="仿宋_GB2312" w:hAnsi="仿宋_GB2312" w:eastAsia="仿宋_GB2312" w:cs="仿宋_GB2312"/>
          <w:color w:val="000000"/>
          <w:kern w:val="0"/>
          <w:sz w:val="27"/>
          <w:szCs w:val="27"/>
        </w:rPr>
        <w:t>全体干部职工较好的完成了全年工作，为广大残疾人服务，收到了上级领导及残疾人的普遍认可，实现了年初的绩效目标。</w:t>
      </w:r>
    </w:p>
    <w:p>
      <w:pPr>
        <w:widowControl/>
        <w:spacing w:before="240" w:after="240"/>
        <w:ind w:firstLine="438"/>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（二）部门（单位）决算中项目绩效自评结果。</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通辽市残疾人康复托养中心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年度在决算中反映</w:t>
      </w:r>
      <w:r>
        <w:rPr>
          <w:rFonts w:hint="eastAsia" w:ascii="times_new_roman" w:hAnsi="times_new_roman" w:cs="times_new_roman"/>
          <w:color w:val="000000"/>
          <w:kern w:val="0"/>
          <w:sz w:val="27"/>
          <w:szCs w:val="27"/>
          <w:u w:val="single" w:color="000000"/>
          <w:lang w:val="en-US" w:eastAsia="zh-CN"/>
        </w:rPr>
        <w:t>3</w:t>
      </w:r>
      <w:r>
        <w:rPr>
          <w:rFonts w:ascii="仿宋_GB2312" w:hAnsi="仿宋_GB2312" w:eastAsia="仿宋_GB2312" w:cs="仿宋_GB2312"/>
          <w:color w:val="000000"/>
          <w:kern w:val="0"/>
          <w:sz w:val="27"/>
          <w:szCs w:val="27"/>
        </w:rPr>
        <w:t>个一般公共预算项目，以及</w:t>
      </w:r>
      <w:r>
        <w:rPr>
          <w:rFonts w:hint="eastAsia" w:ascii="times_new_roman" w:hAnsi="times_new_roman" w:cs="times_new_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个政府性基金项目，共</w:t>
      </w:r>
      <w:r>
        <w:rPr>
          <w:rFonts w:hint="eastAsia" w:ascii="times_new_roman" w:hAnsi="times_new_roman" w:cs="times_new_roman"/>
          <w:color w:val="000000"/>
          <w:kern w:val="0"/>
          <w:sz w:val="27"/>
          <w:szCs w:val="27"/>
          <w:u w:val="single" w:color="000000"/>
          <w:lang w:val="en-US" w:eastAsia="zh-CN"/>
        </w:rPr>
        <w:t>3</w:t>
      </w:r>
      <w:r>
        <w:rPr>
          <w:rFonts w:ascii="仿宋_GB2312" w:hAnsi="仿宋_GB2312" w:eastAsia="仿宋_GB2312" w:cs="仿宋_GB2312"/>
          <w:color w:val="000000"/>
          <w:kern w:val="0"/>
          <w:sz w:val="27"/>
          <w:szCs w:val="27"/>
        </w:rPr>
        <w:t>个项目的绩效自评结果。</w:t>
      </w:r>
    </w:p>
    <w:p>
      <w:pPr>
        <w:widowControl/>
        <w:spacing w:before="240" w:after="240"/>
        <w:ind w:firstLine="482"/>
        <w:rPr>
          <w:rFonts w:ascii="fang_song_gb2312" w:hAnsi="fang_song_gb2312" w:eastAsia="fang_song_gb2312" w:cs="fang_song_gb2312"/>
          <w:kern w:val="0"/>
          <w:sz w:val="27"/>
          <w:szCs w:val="27"/>
        </w:rPr>
      </w:pPr>
      <w:r>
        <w:rPr>
          <w:rFonts w:ascii="仿宋_GB2312" w:hAnsi="仿宋_GB2312" w:eastAsia="仿宋_GB2312" w:cs="仿宋_GB2312"/>
          <w:color w:val="000000"/>
          <w:kern w:val="0"/>
          <w:sz w:val="27"/>
          <w:szCs w:val="27"/>
        </w:rPr>
        <w:t xml:space="preserve">  </w:t>
      </w:r>
      <w:r>
        <w:rPr>
          <w:rFonts w:ascii="times_new_roman" w:hAnsi="times_new_roman" w:eastAsia="times_new_roman" w:cs="times_new_roman"/>
          <w:kern w:val="0"/>
          <w:sz w:val="27"/>
          <w:szCs w:val="27"/>
        </w:rPr>
        <w:t>1.</w:t>
      </w:r>
      <w:r>
        <w:rPr>
          <w:rFonts w:hint="eastAsia" w:ascii="fang_song_gb2312" w:hAnsi="fang_song_gb2312" w:cs="fang_song_gb2312"/>
          <w:kern w:val="0"/>
          <w:sz w:val="27"/>
          <w:szCs w:val="27"/>
          <w:lang w:val="en-US" w:eastAsia="zh-CN"/>
        </w:rPr>
        <w:t>规范化建设补助资金项目</w:t>
      </w:r>
      <w:r>
        <w:rPr>
          <w:rFonts w:ascii="fang_song_gb2312" w:hAnsi="fang_song_gb2312" w:eastAsia="fang_song_gb2312" w:cs="fang_song_gb2312"/>
          <w:kern w:val="0"/>
          <w:sz w:val="27"/>
          <w:szCs w:val="27"/>
        </w:rPr>
        <w:t>自评综述：根据年初设定的绩效目标，项目自评得分</w:t>
      </w:r>
      <w:r>
        <w:rPr>
          <w:rFonts w:hint="eastAsia" w:ascii="fang_song_gb2312" w:hAnsi="fang_song_gb2312" w:cs="fang_song_gb2312"/>
          <w:kern w:val="0"/>
          <w:sz w:val="27"/>
          <w:szCs w:val="27"/>
          <w:lang w:val="en-US" w:eastAsia="zh-CN"/>
        </w:rPr>
        <w:t>95.48</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14</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11.36</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81.14</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kern w:val="0"/>
          <w:sz w:val="27"/>
          <w:szCs w:val="27"/>
          <w:lang w:val="en-US" w:eastAsia="zh-CN"/>
        </w:rPr>
        <w:t>1.数量指标：培训旗县数量目标值9个，完成9个，分值11分，得11分。2.质量指标：参加培训合格率目标值100%，实际完成100%，分值15分，得分15分</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val="en-US" w:eastAsia="zh-CN"/>
        </w:rPr>
        <w:t>资金管理使用不到位</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val="en-US" w:eastAsia="zh-CN"/>
        </w:rPr>
        <w:t>充分使用资金，提高资金利用率</w:t>
      </w:r>
      <w:r>
        <w:rPr>
          <w:rFonts w:ascii="fang_song_gb2312" w:hAnsi="fang_song_gb2312" w:eastAsia="fang_song_gb2312" w:cs="fang_song_gb2312"/>
          <w:kern w:val="0"/>
          <w:sz w:val="27"/>
          <w:szCs w:val="27"/>
        </w:rPr>
        <w:t>。</w:t>
      </w:r>
    </w:p>
    <w:p>
      <w:pPr>
        <w:widowControl/>
        <w:spacing w:before="240" w:after="240"/>
        <w:ind w:firstLine="482"/>
        <w:rPr>
          <w:rFonts w:ascii="fang_song_gb2312" w:hAnsi="fang_song_gb2312" w:eastAsia="fang_song_gb2312" w:cs="fang_song_gb2312"/>
          <w:kern w:val="0"/>
          <w:sz w:val="27"/>
          <w:szCs w:val="27"/>
        </w:rPr>
      </w:pPr>
    </w:p>
    <w:p>
      <w:pPr>
        <w:widowControl/>
        <w:spacing w:before="240" w:after="240"/>
        <w:ind w:firstLine="482"/>
        <w:rPr>
          <w:rFonts w:ascii="fang_song_gb2312" w:hAnsi="fang_song_gb2312" w:eastAsia="fang_song_gb2312" w:cs="fang_song_gb2312"/>
          <w:kern w:val="0"/>
          <w:sz w:val="27"/>
          <w:szCs w:val="27"/>
        </w:rPr>
      </w:pPr>
    </w:p>
    <w:p>
      <w:pPr>
        <w:widowControl/>
        <w:spacing w:before="240" w:after="24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t xml:space="preserve">    </w:t>
      </w:r>
      <w:r>
        <w:rPr>
          <w:rFonts w:ascii="kai_ti_gb2312" w:hAnsi="kai_ti_gb2312" w:eastAsia="kai_ti_gb2312" w:cs="kai_ti_gb2312"/>
          <w:b/>
          <w:bCs/>
          <w:kern w:val="0"/>
          <w:sz w:val="27"/>
          <w:szCs w:val="27"/>
        </w:rPr>
        <w:object>
          <v:shape id="_x0000_i1025" o:spt="75" type="#_x0000_t75" style="height:633.55pt;width:487pt;" o:ole="t" filled="f" o:preferrelative="t" stroked="f" coordsize="21600,21600">
            <v:path/>
            <v:fill on="f" focussize="0,0"/>
            <v:stroke on="f"/>
            <v:imagedata r:id="rId9" o:title=""/>
            <o:lock v:ext="edit" aspectratio="f"/>
            <w10:wrap type="none"/>
            <w10:anchorlock/>
          </v:shape>
          <o:OLEObject Type="Embed" ProgID="Excel.Sheet.12" ShapeID="_x0000_i1025" DrawAspect="Content" ObjectID="_1468075725" r:id="rId8">
            <o:LockedField>false</o:LockedField>
          </o:OLEObject>
        </w:object>
      </w:r>
    </w:p>
    <w:p>
      <w:pPr>
        <w:widowControl/>
        <w:spacing w:before="240" w:after="240"/>
        <w:jc w:val="left"/>
        <w:rPr>
          <w:rFonts w:ascii="kai_ti_gb2312" w:hAnsi="kai_ti_gb2312" w:eastAsia="kai_ti_gb2312" w:cs="kai_ti_gb2312"/>
          <w:b/>
          <w:bCs/>
          <w:kern w:val="0"/>
          <w:sz w:val="27"/>
          <w:szCs w:val="27"/>
        </w:rPr>
      </w:pPr>
    </w:p>
    <w:p>
      <w:pPr>
        <w:widowControl/>
        <w:spacing w:before="240" w:after="240"/>
        <w:ind w:firstLine="482"/>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2</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val="en-US" w:eastAsia="zh-CN"/>
        </w:rPr>
        <w:t>残疾人假肢装配项目</w:t>
      </w:r>
      <w:r>
        <w:rPr>
          <w:rFonts w:ascii="fang_song_gb2312" w:hAnsi="fang_song_gb2312" w:eastAsia="fang_song_gb2312" w:cs="fang_song_gb2312"/>
          <w:kern w:val="0"/>
          <w:sz w:val="27"/>
          <w:szCs w:val="27"/>
        </w:rPr>
        <w:t>自评综述：根据年初设定的绩效目标，项目自评得分</w:t>
      </w:r>
      <w:r>
        <w:rPr>
          <w:rFonts w:hint="eastAsia" w:ascii="fang_song_gb2312" w:hAnsi="fang_song_gb2312" w:cs="fang_song_gb2312"/>
          <w:kern w:val="0"/>
          <w:sz w:val="27"/>
          <w:szCs w:val="27"/>
          <w:lang w:val="en-US" w:eastAsia="zh-CN"/>
        </w:rPr>
        <w:t>99.82</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40</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39.68</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99.2</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kern w:val="0"/>
          <w:sz w:val="27"/>
          <w:szCs w:val="27"/>
          <w:lang w:val="en-US" w:eastAsia="zh-CN"/>
        </w:rPr>
        <w:t>1.数量指标：大、小腿假肢装配数目标值20个，完成20个，分值15分，得15分。2.质量指标：培训合格率、能力提升科室完成数目标值90%，实际完成100%，分值15分，得分15分</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val="en-US"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val="en-US" w:eastAsia="zh-CN"/>
        </w:rPr>
        <w:t>充分使用资金，提高资金利用率</w:t>
      </w:r>
      <w:r>
        <w:rPr>
          <w:rFonts w:ascii="fang_song_gb2312" w:hAnsi="fang_song_gb2312" w:eastAsia="fang_song_gb2312" w:cs="fang_song_gb2312"/>
          <w:kern w:val="0"/>
          <w:sz w:val="27"/>
          <w:szCs w:val="27"/>
        </w:rPr>
        <w:t>。</w:t>
      </w:r>
    </w:p>
    <w:p>
      <w:pPr>
        <w:widowControl/>
        <w:spacing w:before="240" w:after="24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object>
          <v:shape id="_x0000_i1026" o:spt="75" type="#_x0000_t75" style="height:644.15pt;width:486.7pt;" o:ole="t" filled="f" o:preferrelative="t" stroked="f" coordsize="21600,21600">
            <v:path/>
            <v:fill on="f" focussize="0,0"/>
            <v:stroke on="f"/>
            <v:imagedata r:id="rId11" o:title=""/>
            <o:lock v:ext="edit" aspectratio="f"/>
            <w10:wrap type="none"/>
            <w10:anchorlock/>
          </v:shape>
          <o:OLEObject Type="Embed" ProgID="Excel.Sheet.12" ShapeID="_x0000_i1026" DrawAspect="Content" ObjectID="_1468075726" r:id="rId10">
            <o:LockedField>false</o:LockedField>
          </o:OLEObject>
        </w:object>
      </w:r>
    </w:p>
    <w:p>
      <w:pPr>
        <w:widowControl/>
        <w:spacing w:before="240" w:after="240"/>
        <w:jc w:val="left"/>
        <w:rPr>
          <w:rFonts w:ascii="kai_ti_gb2312" w:hAnsi="kai_ti_gb2312" w:eastAsia="kai_ti_gb2312" w:cs="kai_ti_gb2312"/>
          <w:b/>
          <w:bCs/>
          <w:kern w:val="0"/>
          <w:sz w:val="27"/>
          <w:szCs w:val="27"/>
        </w:rPr>
      </w:pPr>
    </w:p>
    <w:p>
      <w:pPr>
        <w:widowControl/>
        <w:spacing w:before="240" w:after="240"/>
        <w:ind w:firstLine="482"/>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3</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val="en-US" w:eastAsia="zh-CN"/>
        </w:rPr>
        <w:t>残疾人基本辅助器具适配救助项目</w:t>
      </w:r>
      <w:r>
        <w:rPr>
          <w:rFonts w:ascii="fang_song_gb2312" w:hAnsi="fang_song_gb2312" w:eastAsia="fang_song_gb2312" w:cs="fang_song_gb2312"/>
          <w:kern w:val="0"/>
          <w:sz w:val="27"/>
          <w:szCs w:val="27"/>
        </w:rPr>
        <w:t>自评综述：根据年初设定的绩效目标，项目自评得分</w:t>
      </w:r>
      <w:r>
        <w:rPr>
          <w:rFonts w:hint="eastAsia" w:ascii="fang_song_gb2312" w:hAnsi="fang_song_gb2312" w:cs="fang_song_gb2312"/>
          <w:kern w:val="0"/>
          <w:sz w:val="27"/>
          <w:szCs w:val="27"/>
          <w:lang w:val="en-US" w:eastAsia="zh-CN"/>
        </w:rPr>
        <w:t>94.96</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20</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19.92</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99.6</w:t>
      </w:r>
      <w:r>
        <w:rPr>
          <w:rFonts w:ascii="fang_song_gb2312" w:hAnsi="fang_song_gb2312" w:eastAsia="fang_song_gb2312" w:cs="fang_song_gb2312"/>
          <w:kern w:val="0"/>
          <w:sz w:val="27"/>
          <w:szCs w:val="27"/>
        </w:rPr>
        <w:t>%。项目绩效目标完成情况：</w:t>
      </w:r>
      <w:r>
        <w:rPr>
          <w:rFonts w:hint="eastAsia" w:ascii="fang_song_gb2312" w:hAnsi="fang_song_gb2312" w:cs="fang_song_gb2312"/>
          <w:kern w:val="0"/>
          <w:sz w:val="27"/>
          <w:szCs w:val="27"/>
          <w:lang w:val="en-US" w:eastAsia="zh-CN"/>
        </w:rPr>
        <w:t>1.数量指标：残疾人肢体类辅助器具适配救助项目人数、残疾人基本辅助器具适配救助服务人数分别100人，完成100个，分值15分，得15分。2.质量指标：残疾人基本辅助器具适配合格率、残疾人基本辅助器具适配服务合格率目标值90%，实际完成100%，分值15分，得分15分</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val="en-US"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val="en-US" w:eastAsia="zh-CN"/>
        </w:rPr>
        <w:t>充分使用资金，提高资金利用率</w:t>
      </w:r>
      <w:r>
        <w:rPr>
          <w:rFonts w:ascii="fang_song_gb2312" w:hAnsi="fang_song_gb2312" w:eastAsia="fang_song_gb2312" w:cs="fang_song_gb2312"/>
          <w:kern w:val="0"/>
          <w:sz w:val="27"/>
          <w:szCs w:val="27"/>
        </w:rPr>
        <w:t>。</w:t>
      </w:r>
    </w:p>
    <w:p>
      <w:pPr>
        <w:widowControl/>
        <w:spacing w:before="240" w:after="240"/>
        <w:jc w:val="left"/>
        <w:rPr>
          <w:rFonts w:ascii="kai_ti_gb2312" w:hAnsi="kai_ti_gb2312" w:eastAsia="kai_ti_gb2312" w:cs="kai_ti_gb2312"/>
          <w:b/>
          <w:bCs/>
          <w:kern w:val="0"/>
          <w:sz w:val="27"/>
          <w:szCs w:val="27"/>
        </w:rPr>
      </w:pPr>
      <w:r>
        <w:rPr>
          <w:rFonts w:ascii="kai_ti_gb2312" w:hAnsi="kai_ti_gb2312" w:eastAsia="kai_ti_gb2312" w:cs="kai_ti_gb2312"/>
          <w:b/>
          <w:bCs/>
          <w:kern w:val="0"/>
          <w:sz w:val="27"/>
          <w:szCs w:val="27"/>
        </w:rPr>
        <w:object>
          <v:shape id="_x0000_i1027" o:spt="75" type="#_x0000_t75" style="height:703.6pt;width:481.25pt;" o:ole="t" filled="f" o:preferrelative="t" stroked="f" coordsize="21600,21600">
            <v:path/>
            <v:fill on="f" focussize="0,0"/>
            <v:stroke on="f"/>
            <v:imagedata r:id="rId13" o:title=""/>
            <o:lock v:ext="edit" aspectratio="f"/>
            <w10:wrap type="none"/>
            <w10:anchorlock/>
          </v:shape>
          <o:OLEObject Type="Embed" ProgID="Excel.Sheet.12" ShapeID="_x0000_i1027" DrawAspect="Content" ObjectID="_1468075727" r:id="rId12">
            <o:LockedField>false</o:LockedField>
          </o:OLEObject>
        </w:objec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（三）部门项目绩效评价结果。</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规范化建设补助经费</w:t>
      </w:r>
      <w:r>
        <w:rPr>
          <w:rFonts w:ascii="仿宋_GB2312" w:hAnsi="仿宋_GB2312" w:eastAsia="仿宋_GB2312" w:cs="仿宋_GB2312"/>
          <w:kern w:val="0"/>
          <w:sz w:val="27"/>
          <w:szCs w:val="27"/>
        </w:rPr>
        <w:t>，该项目绩效评价综合得分为</w:t>
      </w:r>
      <w:r>
        <w:rPr>
          <w:rFonts w:hint="eastAsia" w:ascii="times_new_roman" w:hAnsi="times_new_roman" w:cs="times_new_roman"/>
          <w:kern w:val="0"/>
          <w:sz w:val="27"/>
          <w:szCs w:val="27"/>
          <w:u w:val="single"/>
          <w:lang w:val="en-US" w:eastAsia="zh-CN"/>
        </w:rPr>
        <w:t>95.48</w:t>
      </w:r>
      <w:r>
        <w:rPr>
          <w:rFonts w:ascii="仿宋_GB2312" w:hAnsi="仿宋_GB2312" w:eastAsia="仿宋_GB2312" w:cs="仿宋_GB2312"/>
          <w:kern w:val="0"/>
          <w:sz w:val="27"/>
          <w:szCs w:val="27"/>
        </w:rPr>
        <w:t>分，绩效评价结果为“优”。部门项目绩效评价得分情况详见部门（单位）具体绩效评价结果。</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Times New Roman" w:hAnsi="Times New Roman" w:eastAsia="Times New Roman" w:cs="Times New Roman"/>
          <w:kern w:val="0"/>
          <w:sz w:val="24"/>
        </w:rPr>
        <w:drawing>
          <wp:inline distT="0" distB="0" distL="114300" distR="114300">
            <wp:extent cx="5114290" cy="7295515"/>
            <wp:effectExtent l="0" t="0" r="10160" b="635"/>
            <wp:docPr id="8" name="图片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
                    <pic:cNvPicPr>
                      <a:picLocks noChangeAspect="1"/>
                    </pic:cNvPicPr>
                  </pic:nvPicPr>
                  <pic:blipFill>
                    <a:blip r:embed="rId14"/>
                    <a:stretch>
                      <a:fillRect/>
                    </a:stretch>
                  </pic:blipFill>
                  <pic:spPr>
                    <a:xfrm>
                      <a:off x="0" y="0"/>
                      <a:ext cx="5114290" cy="7295515"/>
                    </a:xfrm>
                    <a:prstGeom prst="rect">
                      <a:avLst/>
                    </a:prstGeom>
                  </pic:spPr>
                </pic:pic>
              </a:graphicData>
            </a:graphic>
          </wp:inline>
        </w:drawing>
      </w:r>
      <w:r>
        <w:rPr>
          <w:rFonts w:ascii="Times New Roman" w:hAnsi="Times New Roman" w:eastAsia="Times New Roman" w:cs="Times New Roman"/>
          <w:kern w:val="0"/>
          <w:sz w:val="24"/>
        </w:rPr>
        <w:drawing>
          <wp:inline distT="0" distB="0" distL="114300" distR="114300">
            <wp:extent cx="5209540" cy="7562215"/>
            <wp:effectExtent l="0" t="0" r="10160" b="635"/>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15"/>
                    <a:stretch>
                      <a:fillRect/>
                    </a:stretch>
                  </pic:blipFill>
                  <pic:spPr>
                    <a:xfrm>
                      <a:off x="0" y="0"/>
                      <a:ext cx="5209540" cy="7562215"/>
                    </a:xfrm>
                    <a:prstGeom prst="rect">
                      <a:avLst/>
                    </a:prstGeom>
                  </pic:spPr>
                </pic:pic>
              </a:graphicData>
            </a:graphic>
          </wp:inline>
        </w:drawing>
      </w:r>
      <w:r>
        <w:rPr>
          <w:rFonts w:ascii="Times New Roman" w:hAnsi="Times New Roman" w:eastAsia="Times New Roman" w:cs="Times New Roman"/>
          <w:kern w:val="0"/>
          <w:sz w:val="24"/>
        </w:rPr>
        <w:drawing>
          <wp:inline distT="0" distB="0" distL="114300" distR="114300">
            <wp:extent cx="5133340" cy="7809230"/>
            <wp:effectExtent l="0" t="0" r="10160" b="1270"/>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16"/>
                    <a:stretch>
                      <a:fillRect/>
                    </a:stretch>
                  </pic:blipFill>
                  <pic:spPr>
                    <a:xfrm>
                      <a:off x="0" y="0"/>
                      <a:ext cx="5133340" cy="7809230"/>
                    </a:xfrm>
                    <a:prstGeom prst="rect">
                      <a:avLst/>
                    </a:prstGeom>
                  </pic:spPr>
                </pic:pic>
              </a:graphicData>
            </a:graphic>
          </wp:inline>
        </w:drawing>
      </w:r>
      <w:r>
        <w:rPr>
          <w:rFonts w:ascii="Times New Roman" w:hAnsi="Times New Roman" w:eastAsia="Times New Roman" w:cs="Times New Roman"/>
          <w:kern w:val="0"/>
          <w:sz w:val="24"/>
        </w:rPr>
        <w:drawing>
          <wp:inline distT="0" distB="0" distL="114300" distR="114300">
            <wp:extent cx="5285740" cy="7742555"/>
            <wp:effectExtent l="0" t="0" r="10160" b="10795"/>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17"/>
                    <a:stretch>
                      <a:fillRect/>
                    </a:stretch>
                  </pic:blipFill>
                  <pic:spPr>
                    <a:xfrm>
                      <a:off x="0" y="0"/>
                      <a:ext cx="5285740" cy="7742555"/>
                    </a:xfrm>
                    <a:prstGeom prst="rect">
                      <a:avLst/>
                    </a:prstGeom>
                  </pic:spPr>
                </pic:pic>
              </a:graphicData>
            </a:graphic>
          </wp:inline>
        </w:drawing>
      </w:r>
      <w:r>
        <w:rPr>
          <w:rFonts w:ascii="Times New Roman" w:hAnsi="Times New Roman" w:eastAsia="Times New Roman" w:cs="Times New Roman"/>
          <w:kern w:val="0"/>
          <w:sz w:val="24"/>
        </w:rPr>
        <w:drawing>
          <wp:inline distT="0" distB="0" distL="114300" distR="114300">
            <wp:extent cx="5190490" cy="7524115"/>
            <wp:effectExtent l="0" t="0" r="10160" b="635"/>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18"/>
                    <a:stretch>
                      <a:fillRect/>
                    </a:stretch>
                  </pic:blipFill>
                  <pic:spPr>
                    <a:xfrm>
                      <a:off x="0" y="0"/>
                      <a:ext cx="5190490" cy="7524115"/>
                    </a:xfrm>
                    <a:prstGeom prst="rect">
                      <a:avLst/>
                    </a:prstGeom>
                  </pic:spPr>
                </pic:pic>
              </a:graphicData>
            </a:graphic>
          </wp:inline>
        </w:drawing>
      </w:r>
      <w:r>
        <w:rPr>
          <w:rFonts w:ascii="Times New Roman" w:hAnsi="Times New Roman" w:eastAsia="Times New Roman" w:cs="Times New Roman"/>
          <w:kern w:val="0"/>
          <w:sz w:val="24"/>
        </w:rPr>
        <w:drawing>
          <wp:inline distT="0" distB="0" distL="114300" distR="114300">
            <wp:extent cx="5066665" cy="7562215"/>
            <wp:effectExtent l="0" t="0" r="635" b="635"/>
            <wp:docPr id="3" name="图片 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
                    <pic:cNvPicPr>
                      <a:picLocks noChangeAspect="1"/>
                    </pic:cNvPicPr>
                  </pic:nvPicPr>
                  <pic:blipFill>
                    <a:blip r:embed="rId19"/>
                    <a:stretch>
                      <a:fillRect/>
                    </a:stretch>
                  </pic:blipFill>
                  <pic:spPr>
                    <a:xfrm>
                      <a:off x="0" y="0"/>
                      <a:ext cx="5066665" cy="7562215"/>
                    </a:xfrm>
                    <a:prstGeom prst="rect">
                      <a:avLst/>
                    </a:prstGeom>
                  </pic:spPr>
                </pic:pic>
              </a:graphicData>
            </a:graphic>
          </wp:inline>
        </w:drawing>
      </w:r>
    </w:p>
    <w:p>
      <w:pPr>
        <w:pStyle w:val="3"/>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本部门（单位）决算公开信息反馈和联系方式：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张欢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0475-2730886</w:t>
      </w:r>
      <w:bookmarkStart w:id="1" w:name="_GoBack"/>
      <w:bookmarkEnd w:id="1"/>
      <w:r>
        <w:rPr>
          <w:rFonts w:ascii="仿宋_GB2312" w:hAnsi="仿宋_GB2312" w:eastAsia="仿宋_GB2312" w:cs="仿宋_GB2312"/>
          <w:kern w:val="0"/>
          <w:sz w:val="27"/>
          <w:szCs w:val="27"/>
          <w:u w:val="single"/>
        </w:rPr>
        <w:t> </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song_gb2312">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Nimbus Roman No9 L">
    <w:altName w:val="Segoe Print"/>
    <w:panose1 w:val="00000000000000000000"/>
    <w:charset w:val="00"/>
    <w:family w:val="auto"/>
    <w:pitch w:val="default"/>
    <w:sig w:usb0="00000000" w:usb1="00000000" w:usb2="00000000" w:usb3="00000000" w:csb0="00000000" w:csb1="00000000"/>
  </w:font>
  <w:font w:name="DejaVu Sans">
    <w:altName w:val="Segoe Print"/>
    <w:panose1 w:val="020B0606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CESI楷体-GB2312">
    <w:altName w:val="宋体"/>
    <w:panose1 w:val="02000500000000000000"/>
    <w:charset w:val="86"/>
    <w:family w:val="auto"/>
    <w:pitch w:val="default"/>
    <w:sig w:usb0="00000000" w:usb1="00000000" w:usb2="00000012" w:usb3="00000000" w:csb0="0004000F" w:csb1="00000000"/>
  </w:font>
  <w:font w:name="sans-serif">
    <w:altName w:val="微软雅黑"/>
    <w:panose1 w:val="00000000000000000000"/>
    <w:charset w:val="00"/>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MathJax_Vector">
    <w:altName w:val="Trebuchet MS"/>
    <w:panose1 w:val="02000603000000000000"/>
    <w:charset w:val="00"/>
    <w:family w:val="auto"/>
    <w:pitch w:val="default"/>
    <w:sig w:usb0="00000000" w:usb1="00000000" w:usb2="00000000" w:usb3="00000000" w:csb0="00000001" w:csb1="00000000"/>
  </w:font>
  <w:font w:name="方正黑体_GBK">
    <w:altName w:val="微软雅黑"/>
    <w:panose1 w:val="02000000000000000000"/>
    <w:charset w:val="86"/>
    <w:family w:val="auto"/>
    <w:pitch w:val="default"/>
    <w:sig w:usb0="00000000" w:usb1="00000000" w:usb2="00000000" w:usb3="00000000" w:csb0="00040000" w:csb1="00000000"/>
  </w:font>
  <w:font w:name="Trebuchet MS">
    <w:panose1 w:val="020B0603020202020204"/>
    <w:charset w:val="00"/>
    <w:family w:val="auto"/>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25</w:t>
    </w:r>
    <w:r>
      <w:rPr>
        <w:lang w:val="zh-CN"/>
      </w:rPr>
      <w:fldChar w:fldCharType="end"/>
    </w:r>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3C4FB3"/>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1431ED7"/>
    <w:rsid w:val="01E41535"/>
    <w:rsid w:val="02F93D9D"/>
    <w:rsid w:val="107E218E"/>
    <w:rsid w:val="118972DA"/>
    <w:rsid w:val="12474D20"/>
    <w:rsid w:val="128B06AD"/>
    <w:rsid w:val="13EC1940"/>
    <w:rsid w:val="18D73577"/>
    <w:rsid w:val="1BBF15CA"/>
    <w:rsid w:val="21AF49A7"/>
    <w:rsid w:val="222F6F54"/>
    <w:rsid w:val="233276E9"/>
    <w:rsid w:val="25245CAD"/>
    <w:rsid w:val="25D74AFC"/>
    <w:rsid w:val="273A51BB"/>
    <w:rsid w:val="29537A71"/>
    <w:rsid w:val="2B625CAC"/>
    <w:rsid w:val="30B30D4E"/>
    <w:rsid w:val="34934093"/>
    <w:rsid w:val="365273E2"/>
    <w:rsid w:val="36815F62"/>
    <w:rsid w:val="387760FC"/>
    <w:rsid w:val="3BF81F92"/>
    <w:rsid w:val="3D6F337D"/>
    <w:rsid w:val="44AA5702"/>
    <w:rsid w:val="4E3965BC"/>
    <w:rsid w:val="50E66BBF"/>
    <w:rsid w:val="51CD438B"/>
    <w:rsid w:val="53E024E8"/>
    <w:rsid w:val="556A1CB2"/>
    <w:rsid w:val="55F65EAE"/>
    <w:rsid w:val="575D398A"/>
    <w:rsid w:val="593E3254"/>
    <w:rsid w:val="5F187844"/>
    <w:rsid w:val="60C85D86"/>
    <w:rsid w:val="62153296"/>
    <w:rsid w:val="667F5AE4"/>
    <w:rsid w:val="67010139"/>
    <w:rsid w:val="6A1E52AD"/>
    <w:rsid w:val="6B171203"/>
    <w:rsid w:val="6BB2785C"/>
    <w:rsid w:val="6D4116C6"/>
    <w:rsid w:val="6D6836C4"/>
    <w:rsid w:val="71C80926"/>
    <w:rsid w:val="74121BD6"/>
    <w:rsid w:val="79514A7A"/>
    <w:rsid w:val="7C140219"/>
    <w:rsid w:val="7DE72630"/>
    <w:rsid w:val="7E941A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8">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19">
    <w:name w:val="page number"/>
    <w:basedOn w:val="18"/>
    <w:qFormat/>
    <w:uiPriority w:val="0"/>
  </w:style>
  <w:style w:type="character" w:styleId="20">
    <w:name w:val="Hyperlink"/>
    <w:basedOn w:val="18"/>
    <w:qFormat/>
    <w:uiPriority w:val="0"/>
    <w:rPr>
      <w:color w:val="0000FF"/>
      <w:u w:val="single"/>
    </w:rPr>
  </w:style>
  <w:style w:type="character" w:customStyle="1" w:styleId="22">
    <w:name w:val="标题 4 Char"/>
    <w:basedOn w:val="18"/>
    <w:link w:val="5"/>
    <w:qFormat/>
    <w:uiPriority w:val="0"/>
    <w:rPr>
      <w:rFonts w:ascii="Cambria" w:hAnsi="Cambria"/>
      <w:b/>
      <w:bCs/>
      <w:kern w:val="2"/>
      <w:sz w:val="28"/>
      <w:szCs w:val="28"/>
    </w:rPr>
  </w:style>
  <w:style w:type="paragraph" w:customStyle="1"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8"/>
    <w:link w:val="11"/>
    <w:qFormat/>
    <w:uiPriority w:val="0"/>
    <w:rPr>
      <w:kern w:val="2"/>
      <w:sz w:val="18"/>
      <w:szCs w:val="18"/>
    </w:rPr>
  </w:style>
  <w:style w:type="paragraph" w:customStyle="1" w:styleId="26">
    <w:name w:val="List Paragraph"/>
    <w:basedOn w:val="1"/>
    <w:qFormat/>
    <w:uiPriority w:val="0"/>
    <w:pPr>
      <w:ind w:firstLine="420" w:firstLineChars="200"/>
    </w:pPr>
  </w:style>
  <w:style w:type="character" w:customStyle="1" w:styleId="27">
    <w:name w:val="标题 3 Char"/>
    <w:basedOn w:val="18"/>
    <w:link w:val="4"/>
    <w:qFormat/>
    <w:uiPriority w:val="0"/>
    <w:rPr>
      <w:b/>
      <w:bCs/>
      <w:kern w:val="2"/>
      <w:sz w:val="32"/>
      <w:szCs w:val="32"/>
    </w:rPr>
  </w:style>
  <w:style w:type="paragraph" w:customStyle="1" w:styleId="28">
    <w:name w:val="MsoNormal"/>
    <w:basedOn w:val="1"/>
    <w:qFormat/>
    <w:uiPriority w:val="0"/>
  </w:style>
  <w:style w:type="table" w:customStyle="1" w:styleId="29">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emf"/><Relationship Id="rId12" Type="http://schemas.openxmlformats.org/officeDocument/2006/relationships/oleObject" Target="embeddings/oleObject3.bin"/><Relationship Id="rId11" Type="http://schemas.openxmlformats.org/officeDocument/2006/relationships/image" Target="media/image4.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7</Words>
  <Characters>40</Characters>
  <Lines>1</Lines>
  <Paragraphs>1</Paragraphs>
  <ScaleCrop>false</ScaleCrop>
  <LinksUpToDate>false</LinksUpToDate>
  <CharactersWithSpaces>46</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lenovo</cp:lastModifiedBy>
  <cp:lastPrinted>2021-04-16T00:45:00Z</cp:lastPrinted>
  <dcterms:modified xsi:type="dcterms:W3CDTF">2025-09-23T03:46:22Z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2052-10.1.0.6260</vt:lpwstr>
  </property>
  <property fmtid="{D5CDD505-2E9C-101B-9397-08002B2CF9AE}" pid="4" name="KSOTemplateDocerSaveRecord">
    <vt:lpwstr>eyJoZGlkIjoiN2YzNjBkOTgyNWQ1YTMxYzM3MzMwNWFiODNmOWIzYWMiLCJ1c2VySWQiOiI4MDUyMTE2MjkifQ==</vt:lpwstr>
  </property>
</Properties>
</file>